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723F7" w14:textId="430AA209" w:rsidR="005277F1" w:rsidRPr="00EA3F87" w:rsidRDefault="00A43985" w:rsidP="005277F1">
      <w:pPr>
        <w:pStyle w:val="Title"/>
        <w:tabs>
          <w:tab w:val="left" w:pos="-5400"/>
          <w:tab w:val="left" w:pos="-3330"/>
        </w:tabs>
        <w:rPr>
          <w:color w:val="000000"/>
          <w:sz w:val="28"/>
          <w:szCs w:val="28"/>
          <w:lang w:val="id-ID"/>
        </w:rPr>
      </w:pPr>
      <w:bookmarkStart w:id="0" w:name="_Hlk81747081"/>
      <w:r w:rsidRPr="00A43985">
        <w:rPr>
          <w:color w:val="000000"/>
          <w:sz w:val="28"/>
          <w:szCs w:val="28"/>
          <w:lang w:val="id-ID"/>
        </w:rPr>
        <w:t>PENGAMBILAN KEPUTUSAN B</w:t>
      </w:r>
      <w:r w:rsidR="003B3EF3">
        <w:rPr>
          <w:color w:val="000000"/>
          <w:sz w:val="28"/>
          <w:szCs w:val="28"/>
          <w:lang w:val="id-ID"/>
        </w:rPr>
        <w:t>ERINVESTASI PADA SAHAM IDXHIDIV</w:t>
      </w:r>
      <w:r w:rsidRPr="00A43985">
        <w:rPr>
          <w:color w:val="000000"/>
          <w:sz w:val="28"/>
          <w:szCs w:val="28"/>
          <w:lang w:val="id-ID"/>
        </w:rPr>
        <w:t>20</w:t>
      </w:r>
      <w:r w:rsidR="00FB04D0">
        <w:rPr>
          <w:color w:val="000000"/>
          <w:sz w:val="28"/>
          <w:szCs w:val="28"/>
          <w:lang w:val="id-ID"/>
        </w:rPr>
        <w:t xml:space="preserve"> DENGAN </w:t>
      </w:r>
      <w:r w:rsidR="00FB04D0" w:rsidRPr="00FB04D0">
        <w:rPr>
          <w:i/>
          <w:color w:val="000000"/>
          <w:sz w:val="28"/>
          <w:szCs w:val="28"/>
          <w:lang w:val="id-ID"/>
        </w:rPr>
        <w:t>FUNDAMENTAL ANALYSIS</w:t>
      </w:r>
    </w:p>
    <w:p w14:paraId="0405E47F" w14:textId="77777777" w:rsidR="005277F1" w:rsidRPr="00EA3F87" w:rsidRDefault="005277F1" w:rsidP="005277F1">
      <w:pPr>
        <w:jc w:val="center"/>
        <w:rPr>
          <w:b/>
          <w:bCs/>
          <w:color w:val="000000"/>
          <w:sz w:val="28"/>
          <w:szCs w:val="28"/>
          <w:lang w:val="id-ID"/>
        </w:rPr>
      </w:pPr>
      <w:r w:rsidRPr="00EA3F87">
        <w:rPr>
          <w:b/>
          <w:bCs/>
          <w:color w:val="000000"/>
          <w:sz w:val="28"/>
          <w:szCs w:val="28"/>
          <w:lang w:val="id-ID"/>
        </w:rPr>
        <w:t xml:space="preserve"> </w:t>
      </w:r>
    </w:p>
    <w:p w14:paraId="711B9036" w14:textId="1B92DC61" w:rsidR="005277F1" w:rsidRPr="00EA3F87" w:rsidRDefault="00A43985" w:rsidP="005277F1">
      <w:pPr>
        <w:jc w:val="center"/>
        <w:rPr>
          <w:b/>
          <w:bCs/>
          <w:color w:val="000000"/>
          <w:sz w:val="22"/>
          <w:szCs w:val="22"/>
          <w:lang w:val="id-ID"/>
        </w:rPr>
      </w:pPr>
      <w:r w:rsidRPr="00A43985">
        <w:rPr>
          <w:b/>
          <w:bCs/>
          <w:color w:val="000000"/>
          <w:sz w:val="22"/>
          <w:szCs w:val="22"/>
          <w:lang w:val="id-ID"/>
        </w:rPr>
        <w:t xml:space="preserve">Choirun Nisful Laili </w:t>
      </w:r>
      <w:r w:rsidRPr="00A43985">
        <w:rPr>
          <w:b/>
          <w:bCs/>
          <w:color w:val="000000"/>
          <w:sz w:val="22"/>
          <w:szCs w:val="22"/>
          <w:vertAlign w:val="superscript"/>
          <w:lang w:val="id-ID"/>
        </w:rPr>
        <w:t>1</w:t>
      </w:r>
      <w:r w:rsidR="004F0A7D">
        <w:rPr>
          <w:b/>
          <w:bCs/>
          <w:color w:val="000000"/>
          <w:sz w:val="22"/>
          <w:szCs w:val="22"/>
          <w:vertAlign w:val="superscript"/>
        </w:rPr>
        <w:t>*</w:t>
      </w:r>
      <w:r w:rsidRPr="00A43985">
        <w:rPr>
          <w:b/>
          <w:bCs/>
          <w:color w:val="000000"/>
          <w:sz w:val="22"/>
          <w:szCs w:val="22"/>
          <w:lang w:val="id-ID"/>
        </w:rPr>
        <w:t xml:space="preserve">, Lik Anah </w:t>
      </w:r>
      <w:r w:rsidRPr="00A43985">
        <w:rPr>
          <w:b/>
          <w:bCs/>
          <w:color w:val="000000"/>
          <w:sz w:val="22"/>
          <w:szCs w:val="22"/>
          <w:vertAlign w:val="superscript"/>
          <w:lang w:val="id-ID"/>
        </w:rPr>
        <w:t>2</w:t>
      </w:r>
    </w:p>
    <w:p w14:paraId="1A50479C" w14:textId="3B21C34A" w:rsidR="00E24A99" w:rsidRPr="00423EFA" w:rsidRDefault="005277F1" w:rsidP="00423EFA">
      <w:pPr>
        <w:jc w:val="center"/>
        <w:rPr>
          <w:color w:val="000000"/>
          <w:sz w:val="22"/>
          <w:szCs w:val="22"/>
        </w:rPr>
      </w:pPr>
      <w:r w:rsidRPr="00EA3F87">
        <w:rPr>
          <w:color w:val="000000"/>
          <w:sz w:val="22"/>
          <w:szCs w:val="22"/>
          <w:vertAlign w:val="superscript"/>
          <w:lang w:val="id-ID"/>
        </w:rPr>
        <w:t>1</w:t>
      </w:r>
      <w:r w:rsidR="005809BD">
        <w:rPr>
          <w:color w:val="000000"/>
          <w:sz w:val="22"/>
          <w:szCs w:val="22"/>
          <w:vertAlign w:val="superscript"/>
          <w:lang w:val="id-ID"/>
        </w:rPr>
        <w:t xml:space="preserve">,2 </w:t>
      </w:r>
      <w:r w:rsidR="00A43985">
        <w:rPr>
          <w:color w:val="000000"/>
          <w:sz w:val="22"/>
          <w:szCs w:val="22"/>
          <w:lang w:val="id-ID"/>
        </w:rPr>
        <w:t>Prodi Manajemen</w:t>
      </w:r>
      <w:r w:rsidRPr="00EA3F87">
        <w:rPr>
          <w:color w:val="000000"/>
          <w:sz w:val="22"/>
          <w:szCs w:val="22"/>
          <w:lang w:val="id-ID"/>
        </w:rPr>
        <w:t xml:space="preserve">, </w:t>
      </w:r>
      <w:r w:rsidR="00A43985">
        <w:rPr>
          <w:color w:val="000000"/>
          <w:sz w:val="22"/>
          <w:szCs w:val="22"/>
          <w:lang w:val="id-ID"/>
        </w:rPr>
        <w:t>Fakultas Ekonomi</w:t>
      </w:r>
      <w:r w:rsidRPr="00EA3F87">
        <w:rPr>
          <w:color w:val="000000"/>
          <w:sz w:val="22"/>
          <w:szCs w:val="22"/>
          <w:lang w:val="id-ID"/>
        </w:rPr>
        <w:t xml:space="preserve">, </w:t>
      </w:r>
      <w:r w:rsidR="00A43985">
        <w:rPr>
          <w:color w:val="000000"/>
          <w:sz w:val="22"/>
          <w:szCs w:val="22"/>
          <w:lang w:val="id-ID"/>
        </w:rPr>
        <w:t xml:space="preserve">Universitas Hasyim Asy’ari </w:t>
      </w:r>
    </w:p>
    <w:p w14:paraId="14D7ED03" w14:textId="6C1D2A96" w:rsidR="005277F1" w:rsidRPr="004F0A7D" w:rsidRDefault="005277F1" w:rsidP="005277F1">
      <w:pPr>
        <w:jc w:val="center"/>
        <w:rPr>
          <w:color w:val="000000" w:themeColor="text1"/>
          <w:sz w:val="22"/>
          <w:szCs w:val="22"/>
          <w:vertAlign w:val="superscript"/>
        </w:rPr>
      </w:pPr>
      <w:r w:rsidRPr="00EA3F87">
        <w:rPr>
          <w:color w:val="000000"/>
          <w:sz w:val="22"/>
          <w:szCs w:val="22"/>
          <w:lang w:val="id-ID"/>
        </w:rPr>
        <w:t xml:space="preserve">E-mail : </w:t>
      </w:r>
      <w:hyperlink r:id="rId9" w:history="1">
        <w:r w:rsidR="008A59F0" w:rsidRPr="00423EFA">
          <w:rPr>
            <w:rStyle w:val="Hyperlink"/>
            <w:color w:val="000000" w:themeColor="text1"/>
            <w:sz w:val="22"/>
            <w:szCs w:val="22"/>
            <w:u w:val="none"/>
            <w:lang w:val="id-ID"/>
          </w:rPr>
          <w:t>choirunnisful@unhasy.ac.id</w:t>
        </w:r>
      </w:hyperlink>
      <w:r w:rsidR="00E24A99" w:rsidRPr="00423EFA">
        <w:rPr>
          <w:color w:val="000000" w:themeColor="text1"/>
          <w:sz w:val="22"/>
          <w:szCs w:val="22"/>
          <w:vertAlign w:val="superscript"/>
          <w:lang w:val="id-ID"/>
        </w:rPr>
        <w:t>1</w:t>
      </w:r>
      <w:r w:rsidR="004F0A7D">
        <w:rPr>
          <w:color w:val="000000" w:themeColor="text1"/>
          <w:sz w:val="22"/>
          <w:szCs w:val="22"/>
          <w:vertAlign w:val="superscript"/>
        </w:rPr>
        <w:t>*</w:t>
      </w:r>
      <w:bookmarkStart w:id="1" w:name="_GoBack"/>
      <w:bookmarkEnd w:id="1"/>
    </w:p>
    <w:p w14:paraId="3AAC4E8D" w14:textId="77777777" w:rsidR="005277F1" w:rsidRPr="00EA3F87" w:rsidRDefault="005277F1" w:rsidP="005277F1">
      <w:pPr>
        <w:pBdr>
          <w:bottom w:val="single" w:sz="12" w:space="1" w:color="auto"/>
        </w:pBdr>
        <w:jc w:val="center"/>
        <w:rPr>
          <w:b/>
          <w:bCs/>
          <w:color w:val="000000"/>
          <w:lang w:val="id-ID"/>
        </w:rPr>
      </w:pPr>
    </w:p>
    <w:p w14:paraId="7F4E557B" w14:textId="77777777" w:rsidR="005277F1" w:rsidRPr="00EA3F87" w:rsidRDefault="005277F1" w:rsidP="005277F1">
      <w:pPr>
        <w:rPr>
          <w:b/>
          <w:bCs/>
          <w:color w:val="000000"/>
          <w:lang w:val="id-ID"/>
        </w:rPr>
      </w:pPr>
    </w:p>
    <w:p w14:paraId="7B323CDA" w14:textId="6FF36FC0" w:rsidR="005277F1" w:rsidRPr="00EA3F87" w:rsidRDefault="00A43985" w:rsidP="005277F1">
      <w:pPr>
        <w:spacing w:after="120"/>
        <w:jc w:val="center"/>
        <w:rPr>
          <w:b/>
          <w:bCs/>
          <w:i/>
          <w:color w:val="000000"/>
          <w:szCs w:val="20"/>
          <w:lang w:val="id-ID"/>
        </w:rPr>
      </w:pPr>
      <w:r>
        <w:rPr>
          <w:b/>
          <w:bCs/>
          <w:i/>
          <w:color w:val="000000"/>
          <w:szCs w:val="20"/>
          <w:lang w:val="id-ID"/>
        </w:rPr>
        <w:t xml:space="preserve">Abstrak </w:t>
      </w:r>
    </w:p>
    <w:p w14:paraId="54D2ACD2" w14:textId="7FA1D9F2" w:rsidR="005277F1" w:rsidRPr="00423EFA" w:rsidRDefault="00A43985" w:rsidP="00423EFA">
      <w:pPr>
        <w:autoSpaceDE w:val="0"/>
        <w:jc w:val="both"/>
        <w:rPr>
          <w:i/>
          <w:iCs/>
          <w:color w:val="000000"/>
          <w:szCs w:val="20"/>
        </w:rPr>
      </w:pPr>
      <w:r w:rsidRPr="00A43985">
        <w:rPr>
          <w:i/>
          <w:iCs/>
          <w:color w:val="000000"/>
          <w:szCs w:val="20"/>
          <w:lang w:val="id-ID"/>
        </w:rPr>
        <w:t xml:space="preserve">Investasi di Pasar Modal memerlukan </w:t>
      </w:r>
      <w:r>
        <w:rPr>
          <w:i/>
          <w:iCs/>
          <w:color w:val="000000"/>
          <w:szCs w:val="20"/>
          <w:lang w:val="id-ID"/>
        </w:rPr>
        <w:t>pemahaman</w:t>
      </w:r>
      <w:r w:rsidRPr="00A43985">
        <w:rPr>
          <w:i/>
          <w:iCs/>
          <w:color w:val="000000"/>
          <w:szCs w:val="20"/>
          <w:lang w:val="id-ID"/>
        </w:rPr>
        <w:t xml:space="preserve"> tentang analisis fundamental dan analisis teknikal. Untuk investor yang berorientasi jangka panjang membidik dividen sehingga memerlukan analisis perusahaan-perusahaan yang konsisten dalam pembagian dividen yang dapat dilihat pada IDXHIDIV20. Penelitian ini </w:t>
      </w:r>
      <w:r w:rsidR="00CC09ED">
        <w:rPr>
          <w:i/>
          <w:iCs/>
          <w:color w:val="000000"/>
          <w:szCs w:val="20"/>
          <w:lang w:val="id-ID"/>
        </w:rPr>
        <w:t>menggunakan metode</w:t>
      </w:r>
      <w:r w:rsidRPr="00A43985">
        <w:rPr>
          <w:i/>
          <w:iCs/>
          <w:color w:val="000000"/>
          <w:szCs w:val="20"/>
          <w:lang w:val="id-ID"/>
        </w:rPr>
        <w:t xml:space="preserve"> kuantitatif pendekatan deskri</w:t>
      </w:r>
      <w:r w:rsidR="00CC09ED">
        <w:rPr>
          <w:i/>
          <w:iCs/>
          <w:color w:val="000000"/>
          <w:szCs w:val="20"/>
          <w:lang w:val="id-ID"/>
        </w:rPr>
        <w:t xml:space="preserve">ptif </w:t>
      </w:r>
      <w:r>
        <w:rPr>
          <w:i/>
          <w:iCs/>
          <w:color w:val="000000"/>
          <w:szCs w:val="20"/>
          <w:lang w:val="id-ID"/>
        </w:rPr>
        <w:t xml:space="preserve"> </w:t>
      </w:r>
      <w:r w:rsidR="00CC09ED">
        <w:rPr>
          <w:i/>
          <w:iCs/>
          <w:color w:val="000000"/>
          <w:szCs w:val="20"/>
          <w:lang w:val="id-ID"/>
        </w:rPr>
        <w:t xml:space="preserve">dengan </w:t>
      </w:r>
      <w:r>
        <w:rPr>
          <w:i/>
          <w:iCs/>
          <w:color w:val="000000"/>
          <w:szCs w:val="20"/>
          <w:lang w:val="id-ID"/>
        </w:rPr>
        <w:t>data sekunder. P</w:t>
      </w:r>
      <w:r w:rsidRPr="00A43985">
        <w:rPr>
          <w:i/>
          <w:iCs/>
          <w:color w:val="000000"/>
          <w:szCs w:val="20"/>
          <w:lang w:val="id-ID"/>
        </w:rPr>
        <w:t>opulasi penelitian adalah perusahaan yang terdaftar dalam IDXHIDIV20. Sampel ditentukan dengan</w:t>
      </w:r>
      <w:r>
        <w:rPr>
          <w:i/>
          <w:iCs/>
          <w:color w:val="000000"/>
          <w:szCs w:val="20"/>
          <w:lang w:val="id-ID"/>
        </w:rPr>
        <w:t xml:space="preserve"> metode purposive samplin</w:t>
      </w:r>
      <w:r w:rsidRPr="00A43985">
        <w:rPr>
          <w:i/>
          <w:iCs/>
          <w:color w:val="000000"/>
          <w:szCs w:val="20"/>
          <w:lang w:val="id-ID"/>
        </w:rPr>
        <w:t xml:space="preserve">. Analisis fundamental menggunakan rasio keuangan yaitu ROE, DPR, DER, DPS, EPS, PER, PBV. </w:t>
      </w:r>
      <w:r>
        <w:rPr>
          <w:i/>
          <w:iCs/>
          <w:color w:val="000000"/>
          <w:szCs w:val="20"/>
          <w:lang w:val="id-ID"/>
        </w:rPr>
        <w:t>H</w:t>
      </w:r>
      <w:r w:rsidRPr="00A43985">
        <w:rPr>
          <w:i/>
          <w:iCs/>
          <w:color w:val="000000"/>
          <w:szCs w:val="20"/>
          <w:lang w:val="id-ID"/>
        </w:rPr>
        <w:t>asil p</w:t>
      </w:r>
      <w:r>
        <w:rPr>
          <w:i/>
          <w:iCs/>
          <w:color w:val="000000"/>
          <w:szCs w:val="20"/>
          <w:lang w:val="id-ID"/>
        </w:rPr>
        <w:t xml:space="preserve">enelitian menunjukkan terdapat </w:t>
      </w:r>
      <w:r w:rsidRPr="00A43985">
        <w:rPr>
          <w:i/>
          <w:iCs/>
          <w:color w:val="000000"/>
          <w:szCs w:val="20"/>
          <w:lang w:val="id-ID"/>
        </w:rPr>
        <w:t xml:space="preserve">tujuh emiten yang memenuhi kriteria </w:t>
      </w:r>
      <w:r>
        <w:rPr>
          <w:i/>
          <w:iCs/>
          <w:color w:val="000000"/>
          <w:szCs w:val="20"/>
          <w:lang w:val="id-ID"/>
        </w:rPr>
        <w:t xml:space="preserve">sampel </w:t>
      </w:r>
      <w:r w:rsidRPr="00A43985">
        <w:rPr>
          <w:i/>
          <w:iCs/>
          <w:color w:val="000000"/>
          <w:szCs w:val="20"/>
          <w:lang w:val="id-ID"/>
        </w:rPr>
        <w:t>yaitu ASII, HMSP, INDF, INTP, TLKM, UNTR, UNVR. Hasil analisis fundamental menunjukkan rata-rata ROE tertinggi UNVR, rata-rata DER terendah INTP, rata-rata DPR tertinggi INTP, rata-rata DPS tertinggi UNTR, rata-rata EPS tertinggi UNTR, rata-rata PER terendah UNTR. Sedangkan berdasarkan perhitungan valuasi saham dengan PER dan PBV, INDF satu-satunya emiten yang masih berkategori undervalued (PER &lt; 15x, PBV &lt;1). Dan terdapat dua emiten dengan PER berkategori  undervalued, yaitu UNTR dan ASII.</w:t>
      </w:r>
    </w:p>
    <w:p w14:paraId="313CD94B" w14:textId="18B3F83E" w:rsidR="005277F1" w:rsidRPr="00EA3F87" w:rsidRDefault="005277F1" w:rsidP="005277F1">
      <w:pPr>
        <w:autoSpaceDE w:val="0"/>
        <w:jc w:val="both"/>
        <w:rPr>
          <w:bCs/>
          <w:i/>
          <w:color w:val="000000"/>
          <w:szCs w:val="20"/>
          <w:lang w:val="id-ID"/>
        </w:rPr>
      </w:pPr>
      <w:r w:rsidRPr="00EA3F87">
        <w:rPr>
          <w:b/>
          <w:bCs/>
          <w:i/>
          <w:iCs/>
          <w:color w:val="000000"/>
          <w:szCs w:val="20"/>
          <w:lang w:val="id-ID"/>
        </w:rPr>
        <w:t xml:space="preserve">Kata kunci: </w:t>
      </w:r>
      <w:r w:rsidR="00A43985">
        <w:rPr>
          <w:bCs/>
          <w:i/>
          <w:iCs/>
          <w:color w:val="000000"/>
          <w:szCs w:val="20"/>
          <w:lang w:val="id-ID"/>
        </w:rPr>
        <w:t xml:space="preserve">IDXHIDIV20, Analisis </w:t>
      </w:r>
      <w:r w:rsidR="00BA0A89">
        <w:rPr>
          <w:bCs/>
          <w:i/>
          <w:iCs/>
          <w:color w:val="000000"/>
          <w:szCs w:val="20"/>
        </w:rPr>
        <w:t xml:space="preserve">Fundamental, </w:t>
      </w:r>
      <w:r w:rsidR="00A43985">
        <w:rPr>
          <w:bCs/>
          <w:i/>
          <w:iCs/>
          <w:color w:val="000000"/>
          <w:szCs w:val="20"/>
          <w:lang w:val="id-ID"/>
        </w:rPr>
        <w:t>Keputusan Investasi</w:t>
      </w:r>
    </w:p>
    <w:p w14:paraId="0668E665" w14:textId="77777777" w:rsidR="005277F1" w:rsidRPr="00EA3F87" w:rsidRDefault="005277F1" w:rsidP="005277F1">
      <w:pPr>
        <w:autoSpaceDE w:val="0"/>
        <w:jc w:val="both"/>
        <w:rPr>
          <w:bCs/>
          <w:i/>
          <w:color w:val="000000"/>
          <w:szCs w:val="20"/>
          <w:lang w:val="id-ID"/>
        </w:rPr>
      </w:pPr>
    </w:p>
    <w:p w14:paraId="015B637F" w14:textId="77777777" w:rsidR="005277F1" w:rsidRPr="00EA3F87" w:rsidRDefault="005277F1" w:rsidP="005277F1">
      <w:pPr>
        <w:autoSpaceDE w:val="0"/>
        <w:jc w:val="both"/>
        <w:rPr>
          <w:bCs/>
          <w:i/>
          <w:color w:val="000000"/>
          <w:szCs w:val="20"/>
        </w:rPr>
      </w:pPr>
    </w:p>
    <w:p w14:paraId="621FDC7A" w14:textId="7A7CE0A0" w:rsidR="00012AE6" w:rsidRPr="00BA0A89" w:rsidRDefault="00012AE6" w:rsidP="00007450">
      <w:pPr>
        <w:pStyle w:val="Heading1"/>
        <w:numPr>
          <w:ilvl w:val="0"/>
          <w:numId w:val="5"/>
        </w:numPr>
        <w:tabs>
          <w:tab w:val="left" w:pos="0"/>
        </w:tabs>
        <w:suppressAutoHyphens/>
        <w:ind w:left="284" w:hanging="284"/>
        <w:rPr>
          <w:color w:val="000000"/>
        </w:rPr>
      </w:pPr>
      <w:r>
        <w:rPr>
          <w:color w:val="000000"/>
        </w:rPr>
        <w:t xml:space="preserve">PENDAHULUAN </w:t>
      </w:r>
    </w:p>
    <w:p w14:paraId="6F86777D" w14:textId="2BC23CE4" w:rsidR="00BA0A89" w:rsidRDefault="00E37029" w:rsidP="00F337F6">
      <w:pPr>
        <w:ind w:firstLine="426"/>
        <w:jc w:val="both"/>
        <w:rPr>
          <w:bCs/>
          <w:color w:val="000000"/>
          <w:szCs w:val="20"/>
        </w:rPr>
      </w:pPr>
      <w:r>
        <w:rPr>
          <w:bCs/>
          <w:color w:val="000000"/>
          <w:szCs w:val="20"/>
          <w:lang w:val="id-ID"/>
        </w:rPr>
        <w:t>Munculnya f</w:t>
      </w:r>
      <w:r w:rsidR="00A43985" w:rsidRPr="00A43985">
        <w:rPr>
          <w:bCs/>
          <w:color w:val="000000"/>
          <w:szCs w:val="20"/>
          <w:lang w:val="id-ID"/>
        </w:rPr>
        <w:t>enomena seperti</w:t>
      </w:r>
      <w:r>
        <w:rPr>
          <w:bCs/>
          <w:color w:val="000000"/>
          <w:szCs w:val="20"/>
          <w:lang w:val="id-ID"/>
        </w:rPr>
        <w:t xml:space="preserve"> halnya</w:t>
      </w:r>
      <w:r w:rsidR="00A43985" w:rsidRPr="00A43985">
        <w:rPr>
          <w:bCs/>
          <w:color w:val="000000"/>
          <w:szCs w:val="20"/>
          <w:lang w:val="id-ID"/>
        </w:rPr>
        <w:t xml:space="preserve"> euforia dan pesimis adalah hal yang </w:t>
      </w:r>
      <w:r>
        <w:rPr>
          <w:bCs/>
          <w:color w:val="000000"/>
          <w:szCs w:val="20"/>
          <w:lang w:val="id-ID"/>
        </w:rPr>
        <w:t>biasa</w:t>
      </w:r>
      <w:r w:rsidR="00A43985" w:rsidRPr="00A43985">
        <w:rPr>
          <w:bCs/>
          <w:color w:val="000000"/>
          <w:szCs w:val="20"/>
          <w:lang w:val="id-ID"/>
        </w:rPr>
        <w:t xml:space="preserve"> terjadi di bursa saham, dimana saham </w:t>
      </w:r>
      <w:r>
        <w:rPr>
          <w:bCs/>
          <w:color w:val="000000"/>
          <w:szCs w:val="20"/>
          <w:lang w:val="id-ID"/>
        </w:rPr>
        <w:t>mengalami kenaikan</w:t>
      </w:r>
      <w:r w:rsidR="00A43985" w:rsidRPr="00A43985">
        <w:rPr>
          <w:bCs/>
          <w:color w:val="000000"/>
          <w:szCs w:val="20"/>
          <w:lang w:val="id-ID"/>
        </w:rPr>
        <w:t xml:space="preserve"> dan </w:t>
      </w:r>
      <w:r>
        <w:rPr>
          <w:bCs/>
          <w:color w:val="000000"/>
          <w:szCs w:val="20"/>
          <w:lang w:val="id-ID"/>
        </w:rPr>
        <w:t>penurunan</w:t>
      </w:r>
      <w:r w:rsidR="00A43985" w:rsidRPr="00A43985">
        <w:rPr>
          <w:bCs/>
          <w:color w:val="000000"/>
          <w:szCs w:val="20"/>
          <w:lang w:val="id-ID"/>
        </w:rPr>
        <w:t xml:space="preserve"> secara signifikan terlepas keadaan fundamental perusahaan (Utomo, Y : 2022). </w:t>
      </w:r>
      <w:r w:rsidR="00BA0A89" w:rsidRPr="00BA0A89">
        <w:rPr>
          <w:bCs/>
          <w:color w:val="000000"/>
          <w:szCs w:val="20"/>
          <w:lang w:val="id-ID"/>
        </w:rPr>
        <w:t>Investasi ialah aktivitas yang bertujuan melipatgandakan kekayaan di masa yang akan datang dengan mengoptimalkan fungsi uang yang dimiliki sekarang (Abi, F : 2016). Investasi pada umumnya  diklasifikasikan menjadi dua yaitu aset finansial dan riil. Sebagian besar masyarakat melakukan aktivitas investasi dalam aset riil diantaranya emas, logam mulia, bangunan, tanah dan sebagian lagi berinvestasi dalam bentuk reksadana, deposito, obligasi, saham yang merupakan aset finansial.</w:t>
      </w:r>
    </w:p>
    <w:p w14:paraId="6269A7C1" w14:textId="77777777" w:rsidR="00007450" w:rsidRDefault="00A43985" w:rsidP="00007450">
      <w:pPr>
        <w:ind w:firstLine="426"/>
        <w:jc w:val="both"/>
        <w:rPr>
          <w:bCs/>
          <w:color w:val="000000"/>
          <w:szCs w:val="20"/>
        </w:rPr>
      </w:pPr>
      <w:r w:rsidRPr="00A43985">
        <w:rPr>
          <w:bCs/>
          <w:color w:val="000000"/>
          <w:szCs w:val="20"/>
          <w:lang w:val="id-ID"/>
        </w:rPr>
        <w:t>Investor  perlu  melakukan suatu  analisis untuk   saham-saham  yang  akan  dipilih.  “Pembuatan  keputusan  yang  b</w:t>
      </w:r>
      <w:r w:rsidR="00007450">
        <w:rPr>
          <w:bCs/>
          <w:color w:val="000000"/>
          <w:szCs w:val="20"/>
          <w:lang w:val="id-ID"/>
        </w:rPr>
        <w:t>aik  dalam berinvestasi pada as</w:t>
      </w:r>
      <w:r w:rsidRPr="00A43985">
        <w:rPr>
          <w:bCs/>
          <w:color w:val="000000"/>
          <w:szCs w:val="20"/>
          <w:lang w:val="id-ID"/>
        </w:rPr>
        <w:t xml:space="preserve">et keuangan, memerlukan pengetahuan untuk menganalisis sekuritas dan  manajemen  portofolio” (Amenda, et al : 2022). </w:t>
      </w:r>
      <w:r w:rsidR="00007450">
        <w:rPr>
          <w:bCs/>
          <w:color w:val="000000"/>
          <w:szCs w:val="20"/>
          <w:lang w:val="id-ID"/>
        </w:rPr>
        <w:t xml:space="preserve">Atas dasar UU No.8 Tahun 1995 </w:t>
      </w:r>
      <w:r w:rsidR="00007450">
        <w:rPr>
          <w:bCs/>
          <w:color w:val="000000"/>
          <w:szCs w:val="20"/>
        </w:rPr>
        <w:t>t</w:t>
      </w:r>
      <w:r w:rsidR="00007450">
        <w:rPr>
          <w:bCs/>
          <w:color w:val="000000"/>
          <w:szCs w:val="20"/>
          <w:lang w:val="id-ID"/>
        </w:rPr>
        <w:t xml:space="preserve">entang </w:t>
      </w:r>
      <w:r w:rsidR="00007450">
        <w:rPr>
          <w:bCs/>
          <w:color w:val="000000"/>
          <w:szCs w:val="20"/>
        </w:rPr>
        <w:t>p</w:t>
      </w:r>
      <w:r w:rsidR="00007450">
        <w:rPr>
          <w:bCs/>
          <w:color w:val="000000"/>
          <w:szCs w:val="20"/>
          <w:lang w:val="id-ID"/>
        </w:rPr>
        <w:t xml:space="preserve">asar </w:t>
      </w:r>
      <w:r w:rsidR="00007450">
        <w:rPr>
          <w:bCs/>
          <w:color w:val="000000"/>
          <w:szCs w:val="20"/>
        </w:rPr>
        <w:t>m</w:t>
      </w:r>
      <w:r w:rsidR="00007450" w:rsidRPr="00007450">
        <w:rPr>
          <w:bCs/>
          <w:color w:val="000000"/>
          <w:szCs w:val="20"/>
          <w:lang w:val="id-ID"/>
        </w:rPr>
        <w:t>odal menyatakan bahwasannya pasar modal memiliki suatu peran yang strategis pada pembangunan nasional sebagai satu diantara sumber pembiayaan yang dapat dimanfaatkan dunia usaha dan wa</w:t>
      </w:r>
      <w:r w:rsidR="00007450">
        <w:rPr>
          <w:bCs/>
          <w:color w:val="000000"/>
          <w:szCs w:val="20"/>
          <w:lang w:val="id-ID"/>
        </w:rPr>
        <w:t>hana investasi bagi masyarakat</w:t>
      </w:r>
      <w:r w:rsidR="00007450">
        <w:rPr>
          <w:bCs/>
          <w:color w:val="000000"/>
          <w:szCs w:val="20"/>
        </w:rPr>
        <w:t xml:space="preserve"> s</w:t>
      </w:r>
      <w:r w:rsidR="00007450" w:rsidRPr="00007450">
        <w:rPr>
          <w:bCs/>
          <w:color w:val="000000"/>
          <w:szCs w:val="20"/>
          <w:lang w:val="id-ID"/>
        </w:rPr>
        <w:t xml:space="preserve">ebagai tempat untuk berinvestasi tersebut. </w:t>
      </w:r>
    </w:p>
    <w:p w14:paraId="1A1259F9" w14:textId="0687B554" w:rsidR="00007450" w:rsidRDefault="00A43985" w:rsidP="00007450">
      <w:pPr>
        <w:ind w:firstLine="426"/>
        <w:jc w:val="both"/>
        <w:rPr>
          <w:bCs/>
          <w:color w:val="000000"/>
          <w:szCs w:val="20"/>
        </w:rPr>
      </w:pPr>
      <w:r w:rsidRPr="00A43985">
        <w:rPr>
          <w:bCs/>
          <w:color w:val="000000"/>
          <w:szCs w:val="20"/>
          <w:lang w:val="id-ID"/>
        </w:rPr>
        <w:t>Investasi di Pasar Modal memerlukan berbagai ilmu pengetahuan, diantaranya bagaimana seorang investor memahami tentang analisis fundamental sebagai suatu pertimbangan dalam memilih saham un</w:t>
      </w:r>
      <w:r w:rsidR="00E37029">
        <w:rPr>
          <w:bCs/>
          <w:color w:val="000000"/>
          <w:szCs w:val="20"/>
          <w:lang w:val="id-ID"/>
        </w:rPr>
        <w:t xml:space="preserve">tuk investasi jangka panjang.  </w:t>
      </w:r>
      <w:r w:rsidR="00FB04D0">
        <w:rPr>
          <w:bCs/>
          <w:color w:val="000000"/>
          <w:szCs w:val="20"/>
          <w:lang w:val="id-ID"/>
        </w:rPr>
        <w:t>Dalam</w:t>
      </w:r>
      <w:r w:rsidRPr="00A43985">
        <w:rPr>
          <w:bCs/>
          <w:color w:val="000000"/>
          <w:szCs w:val="20"/>
          <w:lang w:val="id-ID"/>
        </w:rPr>
        <w:t xml:space="preserve"> </w:t>
      </w:r>
      <w:r w:rsidRPr="00FB04D0">
        <w:rPr>
          <w:bCs/>
          <w:i/>
          <w:color w:val="000000"/>
          <w:szCs w:val="20"/>
          <w:lang w:val="id-ID"/>
        </w:rPr>
        <w:t xml:space="preserve">fundamental </w:t>
      </w:r>
      <w:r w:rsidR="00FB04D0" w:rsidRPr="00FB04D0">
        <w:rPr>
          <w:bCs/>
          <w:i/>
          <w:color w:val="000000"/>
          <w:szCs w:val="20"/>
          <w:lang w:val="id-ID"/>
        </w:rPr>
        <w:t>analysis</w:t>
      </w:r>
      <w:r w:rsidR="00FB04D0">
        <w:rPr>
          <w:bCs/>
          <w:color w:val="000000"/>
          <w:szCs w:val="20"/>
          <w:lang w:val="id-ID"/>
        </w:rPr>
        <w:t xml:space="preserve"> </w:t>
      </w:r>
      <w:r w:rsidR="00CC09ED">
        <w:rPr>
          <w:bCs/>
          <w:color w:val="000000"/>
          <w:szCs w:val="20"/>
          <w:lang w:val="id-ID"/>
        </w:rPr>
        <w:t>dasar analisis merujuk pada</w:t>
      </w:r>
      <w:r w:rsidRPr="00A43985">
        <w:rPr>
          <w:bCs/>
          <w:color w:val="000000"/>
          <w:szCs w:val="20"/>
          <w:lang w:val="id-ID"/>
        </w:rPr>
        <w:t xml:space="preserve"> informasi </w:t>
      </w:r>
      <w:r w:rsidR="00CC09ED">
        <w:rPr>
          <w:bCs/>
          <w:color w:val="000000"/>
          <w:szCs w:val="20"/>
          <w:lang w:val="id-ID"/>
        </w:rPr>
        <w:t xml:space="preserve"> laporan  keuangan  perusahaan</w:t>
      </w:r>
      <w:r w:rsidR="00FB04D0">
        <w:rPr>
          <w:bCs/>
          <w:color w:val="000000"/>
          <w:szCs w:val="20"/>
          <w:lang w:val="id-ID"/>
        </w:rPr>
        <w:t xml:space="preserve">, </w:t>
      </w:r>
      <w:r w:rsidRPr="00A43985">
        <w:rPr>
          <w:bCs/>
          <w:color w:val="000000"/>
          <w:szCs w:val="20"/>
          <w:lang w:val="id-ID"/>
        </w:rPr>
        <w:t>meng</w:t>
      </w:r>
      <w:r w:rsidR="00FB04D0">
        <w:rPr>
          <w:bCs/>
          <w:color w:val="000000"/>
          <w:szCs w:val="20"/>
          <w:lang w:val="id-ID"/>
        </w:rPr>
        <w:t>kalkulasi</w:t>
      </w:r>
      <w:r w:rsidRPr="00A43985">
        <w:rPr>
          <w:bCs/>
          <w:color w:val="000000"/>
          <w:szCs w:val="20"/>
          <w:lang w:val="id-ID"/>
        </w:rPr>
        <w:t xml:space="preserve">   nilai   int</w:t>
      </w:r>
      <w:r w:rsidR="00E37029">
        <w:rPr>
          <w:bCs/>
          <w:color w:val="000000"/>
          <w:szCs w:val="20"/>
          <w:lang w:val="id-ID"/>
        </w:rPr>
        <w:t xml:space="preserve">rinsik   berdasarkan </w:t>
      </w:r>
      <w:r w:rsidRPr="00A43985">
        <w:rPr>
          <w:bCs/>
          <w:color w:val="000000"/>
          <w:szCs w:val="20"/>
          <w:lang w:val="id-ID"/>
        </w:rPr>
        <w:t xml:space="preserve">data  keuangan  perusahaan  </w:t>
      </w:r>
      <w:r w:rsidR="00E37029">
        <w:rPr>
          <w:bCs/>
          <w:color w:val="000000"/>
          <w:szCs w:val="20"/>
          <w:lang w:val="id-ID"/>
        </w:rPr>
        <w:t xml:space="preserve">yakni </w:t>
      </w:r>
      <w:r w:rsidRPr="00A43985">
        <w:rPr>
          <w:bCs/>
          <w:color w:val="000000"/>
          <w:szCs w:val="20"/>
          <w:lang w:val="id-ID"/>
        </w:rPr>
        <w:t xml:space="preserve">berupa  </w:t>
      </w:r>
      <w:r w:rsidR="00FB04D0" w:rsidRPr="00FB04D0">
        <w:rPr>
          <w:bCs/>
          <w:i/>
          <w:color w:val="000000"/>
          <w:szCs w:val="20"/>
          <w:lang w:val="id-ID"/>
        </w:rPr>
        <w:t>financial ratio</w:t>
      </w:r>
      <w:r w:rsidR="00FB04D0">
        <w:rPr>
          <w:bCs/>
          <w:color w:val="000000"/>
          <w:szCs w:val="20"/>
          <w:lang w:val="id-ID"/>
        </w:rPr>
        <w:t xml:space="preserve"> </w:t>
      </w:r>
      <w:r w:rsidRPr="00A43985">
        <w:rPr>
          <w:bCs/>
          <w:color w:val="000000"/>
          <w:szCs w:val="20"/>
          <w:lang w:val="id-ID"/>
        </w:rPr>
        <w:t xml:space="preserve"> (Karman, A et al : 2022).</w:t>
      </w:r>
      <w:r w:rsidR="00007450">
        <w:rPr>
          <w:bCs/>
          <w:color w:val="000000"/>
          <w:szCs w:val="20"/>
        </w:rPr>
        <w:t xml:space="preserve"> </w:t>
      </w:r>
      <w:proofErr w:type="spellStart"/>
      <w:r w:rsidR="00007450" w:rsidRPr="00007450">
        <w:rPr>
          <w:bCs/>
          <w:color w:val="000000"/>
          <w:szCs w:val="20"/>
        </w:rPr>
        <w:t>Analisis</w:t>
      </w:r>
      <w:proofErr w:type="spellEnd"/>
      <w:r w:rsidR="00007450" w:rsidRPr="00007450">
        <w:rPr>
          <w:bCs/>
          <w:color w:val="000000"/>
          <w:szCs w:val="20"/>
        </w:rPr>
        <w:t xml:space="preserve"> fundamental </w:t>
      </w:r>
      <w:proofErr w:type="spellStart"/>
      <w:r w:rsidR="00007450" w:rsidRPr="00007450">
        <w:rPr>
          <w:bCs/>
          <w:color w:val="000000"/>
          <w:szCs w:val="20"/>
        </w:rPr>
        <w:t>juga</w:t>
      </w:r>
      <w:proofErr w:type="spellEnd"/>
      <w:r w:rsidR="00007450" w:rsidRPr="00007450">
        <w:rPr>
          <w:bCs/>
          <w:color w:val="000000"/>
          <w:szCs w:val="20"/>
        </w:rPr>
        <w:t xml:space="preserve"> </w:t>
      </w:r>
      <w:proofErr w:type="spellStart"/>
      <w:r w:rsidR="00007450" w:rsidRPr="00007450">
        <w:rPr>
          <w:bCs/>
          <w:color w:val="000000"/>
          <w:szCs w:val="20"/>
        </w:rPr>
        <w:t>dilakukan</w:t>
      </w:r>
      <w:proofErr w:type="spellEnd"/>
      <w:r w:rsidR="00007450" w:rsidRPr="00007450">
        <w:rPr>
          <w:bCs/>
          <w:color w:val="000000"/>
          <w:szCs w:val="20"/>
        </w:rPr>
        <w:t xml:space="preserve"> </w:t>
      </w:r>
      <w:proofErr w:type="spellStart"/>
      <w:r w:rsidR="00007450" w:rsidRPr="00007450">
        <w:rPr>
          <w:bCs/>
          <w:color w:val="000000"/>
          <w:szCs w:val="20"/>
        </w:rPr>
        <w:t>dengan</w:t>
      </w:r>
      <w:proofErr w:type="spellEnd"/>
      <w:r w:rsidR="00007450" w:rsidRPr="00007450">
        <w:rPr>
          <w:bCs/>
          <w:color w:val="000000"/>
          <w:szCs w:val="20"/>
        </w:rPr>
        <w:t xml:space="preserve"> </w:t>
      </w:r>
      <w:proofErr w:type="spellStart"/>
      <w:r w:rsidR="00007450" w:rsidRPr="00007450">
        <w:rPr>
          <w:bCs/>
          <w:color w:val="000000"/>
          <w:szCs w:val="20"/>
        </w:rPr>
        <w:t>pendekatan</w:t>
      </w:r>
      <w:proofErr w:type="spellEnd"/>
      <w:r w:rsidR="00007450" w:rsidRPr="00007450">
        <w:rPr>
          <w:bCs/>
          <w:color w:val="000000"/>
          <w:szCs w:val="20"/>
        </w:rPr>
        <w:t xml:space="preserve"> </w:t>
      </w:r>
      <w:proofErr w:type="spellStart"/>
      <w:r w:rsidR="00007450" w:rsidRPr="00007450">
        <w:rPr>
          <w:bCs/>
          <w:color w:val="000000"/>
          <w:szCs w:val="20"/>
        </w:rPr>
        <w:t>perhitungan</w:t>
      </w:r>
      <w:proofErr w:type="spellEnd"/>
      <w:r w:rsidR="00007450" w:rsidRPr="00007450">
        <w:rPr>
          <w:bCs/>
          <w:color w:val="000000"/>
          <w:szCs w:val="20"/>
        </w:rPr>
        <w:t xml:space="preserve"> </w:t>
      </w:r>
      <w:proofErr w:type="spellStart"/>
      <w:r w:rsidR="00007450" w:rsidRPr="00007450">
        <w:rPr>
          <w:bCs/>
          <w:color w:val="000000"/>
          <w:szCs w:val="20"/>
        </w:rPr>
        <w:t>rasio</w:t>
      </w:r>
      <w:proofErr w:type="spellEnd"/>
      <w:r w:rsidR="00007450" w:rsidRPr="00007450">
        <w:rPr>
          <w:bCs/>
          <w:color w:val="000000"/>
          <w:szCs w:val="20"/>
        </w:rPr>
        <w:t xml:space="preserve"> </w:t>
      </w:r>
      <w:proofErr w:type="spellStart"/>
      <w:r w:rsidR="00007450" w:rsidRPr="00007450">
        <w:rPr>
          <w:bCs/>
          <w:color w:val="000000"/>
          <w:szCs w:val="20"/>
        </w:rPr>
        <w:t>keuangan</w:t>
      </w:r>
      <w:proofErr w:type="spellEnd"/>
      <w:r w:rsidR="00007450" w:rsidRPr="00007450">
        <w:rPr>
          <w:bCs/>
          <w:color w:val="000000"/>
          <w:szCs w:val="20"/>
        </w:rPr>
        <w:t xml:space="preserve"> </w:t>
      </w:r>
      <w:proofErr w:type="spellStart"/>
      <w:r w:rsidR="00007450" w:rsidRPr="00007450">
        <w:rPr>
          <w:bCs/>
          <w:color w:val="000000"/>
          <w:szCs w:val="20"/>
        </w:rPr>
        <w:t>yaitu</w:t>
      </w:r>
      <w:proofErr w:type="spellEnd"/>
      <w:r w:rsidR="00007450" w:rsidRPr="00007450">
        <w:rPr>
          <w:bCs/>
          <w:color w:val="000000"/>
          <w:szCs w:val="20"/>
        </w:rPr>
        <w:t xml:space="preserve"> </w:t>
      </w:r>
      <w:proofErr w:type="spellStart"/>
      <w:r w:rsidR="00007450" w:rsidRPr="00007450">
        <w:rPr>
          <w:bCs/>
          <w:color w:val="000000"/>
          <w:szCs w:val="20"/>
        </w:rPr>
        <w:t>rasio</w:t>
      </w:r>
      <w:proofErr w:type="spellEnd"/>
      <w:r w:rsidR="00007450" w:rsidRPr="00007450">
        <w:rPr>
          <w:bCs/>
          <w:color w:val="000000"/>
          <w:szCs w:val="20"/>
        </w:rPr>
        <w:t xml:space="preserve"> </w:t>
      </w:r>
      <w:proofErr w:type="spellStart"/>
      <w:r w:rsidR="00007450" w:rsidRPr="00007450">
        <w:rPr>
          <w:bCs/>
          <w:color w:val="000000"/>
          <w:szCs w:val="20"/>
        </w:rPr>
        <w:t>likuiditas</w:t>
      </w:r>
      <w:proofErr w:type="spellEnd"/>
      <w:r w:rsidR="00007450" w:rsidRPr="00007450">
        <w:rPr>
          <w:bCs/>
          <w:color w:val="000000"/>
          <w:szCs w:val="20"/>
        </w:rPr>
        <w:t xml:space="preserve">, </w:t>
      </w:r>
      <w:proofErr w:type="spellStart"/>
      <w:r w:rsidR="00007450" w:rsidRPr="00007450">
        <w:rPr>
          <w:bCs/>
          <w:color w:val="000000"/>
          <w:szCs w:val="20"/>
        </w:rPr>
        <w:t>solvabilitas</w:t>
      </w:r>
      <w:proofErr w:type="spellEnd"/>
      <w:r w:rsidR="00007450" w:rsidRPr="00007450">
        <w:rPr>
          <w:bCs/>
          <w:color w:val="000000"/>
          <w:szCs w:val="20"/>
        </w:rPr>
        <w:t xml:space="preserve">, </w:t>
      </w:r>
      <w:proofErr w:type="spellStart"/>
      <w:r w:rsidR="00007450" w:rsidRPr="00007450">
        <w:rPr>
          <w:bCs/>
          <w:color w:val="000000"/>
          <w:szCs w:val="20"/>
        </w:rPr>
        <w:t>profitabilitas</w:t>
      </w:r>
      <w:proofErr w:type="spellEnd"/>
      <w:r w:rsidR="00007450" w:rsidRPr="00007450">
        <w:rPr>
          <w:bCs/>
          <w:color w:val="000000"/>
          <w:szCs w:val="20"/>
        </w:rPr>
        <w:t xml:space="preserve">, </w:t>
      </w:r>
      <w:proofErr w:type="spellStart"/>
      <w:r w:rsidR="00007450" w:rsidRPr="00007450">
        <w:rPr>
          <w:bCs/>
          <w:color w:val="000000"/>
          <w:szCs w:val="20"/>
        </w:rPr>
        <w:t>aktivitas</w:t>
      </w:r>
      <w:proofErr w:type="spellEnd"/>
      <w:r w:rsidR="00007450" w:rsidRPr="00007450">
        <w:rPr>
          <w:bCs/>
          <w:color w:val="000000"/>
          <w:szCs w:val="20"/>
        </w:rPr>
        <w:t xml:space="preserve">, </w:t>
      </w:r>
      <w:proofErr w:type="spellStart"/>
      <w:r w:rsidR="00007450" w:rsidRPr="00007450">
        <w:rPr>
          <w:bCs/>
          <w:color w:val="000000"/>
          <w:szCs w:val="20"/>
        </w:rPr>
        <w:t>rasio</w:t>
      </w:r>
      <w:proofErr w:type="spellEnd"/>
      <w:r w:rsidR="00007450" w:rsidRPr="00007450">
        <w:rPr>
          <w:bCs/>
          <w:color w:val="000000"/>
          <w:szCs w:val="20"/>
        </w:rPr>
        <w:t xml:space="preserve"> </w:t>
      </w:r>
      <w:proofErr w:type="spellStart"/>
      <w:r w:rsidR="00007450" w:rsidRPr="00007450">
        <w:rPr>
          <w:bCs/>
          <w:color w:val="000000"/>
          <w:szCs w:val="20"/>
        </w:rPr>
        <w:t>pasar</w:t>
      </w:r>
      <w:proofErr w:type="spellEnd"/>
      <w:r w:rsidR="00007450" w:rsidRPr="00007450">
        <w:rPr>
          <w:bCs/>
          <w:color w:val="000000"/>
          <w:szCs w:val="20"/>
        </w:rPr>
        <w:t xml:space="preserve"> (</w:t>
      </w:r>
      <w:proofErr w:type="spellStart"/>
      <w:r w:rsidR="00007450" w:rsidRPr="00007450">
        <w:rPr>
          <w:bCs/>
          <w:color w:val="000000"/>
          <w:szCs w:val="20"/>
        </w:rPr>
        <w:t>Alfaruqi</w:t>
      </w:r>
      <w:proofErr w:type="spellEnd"/>
      <w:r w:rsidR="00007450" w:rsidRPr="00007450">
        <w:rPr>
          <w:bCs/>
          <w:color w:val="000000"/>
          <w:szCs w:val="20"/>
        </w:rPr>
        <w:t xml:space="preserve"> </w:t>
      </w:r>
      <w:proofErr w:type="gramStart"/>
      <w:r w:rsidR="00007450" w:rsidRPr="00007450">
        <w:rPr>
          <w:bCs/>
          <w:color w:val="000000"/>
          <w:szCs w:val="20"/>
        </w:rPr>
        <w:t>F.I :</w:t>
      </w:r>
      <w:proofErr w:type="gramEnd"/>
      <w:r w:rsidR="00007450" w:rsidRPr="00007450">
        <w:rPr>
          <w:bCs/>
          <w:color w:val="000000"/>
          <w:szCs w:val="20"/>
        </w:rPr>
        <w:t xml:space="preserve"> 2022). </w:t>
      </w:r>
      <w:proofErr w:type="spellStart"/>
      <w:proofErr w:type="gramStart"/>
      <w:r w:rsidR="00007450" w:rsidRPr="00007450">
        <w:rPr>
          <w:bCs/>
          <w:color w:val="000000"/>
          <w:szCs w:val="20"/>
        </w:rPr>
        <w:t>Beberapa</w:t>
      </w:r>
      <w:proofErr w:type="spellEnd"/>
      <w:r w:rsidR="00007450" w:rsidRPr="00007450">
        <w:rPr>
          <w:bCs/>
          <w:color w:val="000000"/>
          <w:szCs w:val="20"/>
        </w:rPr>
        <w:t xml:space="preserve"> </w:t>
      </w:r>
      <w:proofErr w:type="spellStart"/>
      <w:r w:rsidR="00007450" w:rsidRPr="00007450">
        <w:rPr>
          <w:bCs/>
          <w:color w:val="000000"/>
          <w:szCs w:val="20"/>
        </w:rPr>
        <w:t>rasio</w:t>
      </w:r>
      <w:proofErr w:type="spellEnd"/>
      <w:r w:rsidR="00007450" w:rsidRPr="00007450">
        <w:rPr>
          <w:bCs/>
          <w:color w:val="000000"/>
          <w:szCs w:val="20"/>
        </w:rPr>
        <w:t xml:space="preserve"> yang </w:t>
      </w:r>
      <w:proofErr w:type="spellStart"/>
      <w:r w:rsidR="00007450" w:rsidRPr="00007450">
        <w:rPr>
          <w:bCs/>
          <w:color w:val="000000"/>
          <w:szCs w:val="20"/>
        </w:rPr>
        <w:t>digunakan</w:t>
      </w:r>
      <w:proofErr w:type="spellEnd"/>
      <w:r w:rsidR="00007450" w:rsidRPr="00007450">
        <w:rPr>
          <w:bCs/>
          <w:color w:val="000000"/>
          <w:szCs w:val="20"/>
        </w:rPr>
        <w:t xml:space="preserve"> </w:t>
      </w:r>
      <w:proofErr w:type="spellStart"/>
      <w:r w:rsidR="00007450" w:rsidRPr="00007450">
        <w:rPr>
          <w:bCs/>
          <w:color w:val="000000"/>
          <w:szCs w:val="20"/>
        </w:rPr>
        <w:t>adalah</w:t>
      </w:r>
      <w:proofErr w:type="spellEnd"/>
      <w:r w:rsidR="00007450" w:rsidRPr="00007450">
        <w:rPr>
          <w:bCs/>
          <w:color w:val="000000"/>
          <w:szCs w:val="20"/>
        </w:rPr>
        <w:t xml:space="preserve"> </w:t>
      </w:r>
      <w:proofErr w:type="spellStart"/>
      <w:r w:rsidR="00007450" w:rsidRPr="00007450">
        <w:rPr>
          <w:bCs/>
          <w:color w:val="000000"/>
          <w:szCs w:val="20"/>
        </w:rPr>
        <w:t>sebagai</w:t>
      </w:r>
      <w:proofErr w:type="spellEnd"/>
      <w:r w:rsidR="00007450" w:rsidRPr="00007450">
        <w:rPr>
          <w:bCs/>
          <w:color w:val="000000"/>
          <w:szCs w:val="20"/>
        </w:rPr>
        <w:t xml:space="preserve"> </w:t>
      </w:r>
      <w:proofErr w:type="spellStart"/>
      <w:r w:rsidR="00007450" w:rsidRPr="00007450">
        <w:rPr>
          <w:bCs/>
          <w:color w:val="000000"/>
          <w:szCs w:val="20"/>
        </w:rPr>
        <w:t>berikut</w:t>
      </w:r>
      <w:proofErr w:type="spellEnd"/>
      <w:r w:rsidR="00007450" w:rsidRPr="00007450">
        <w:rPr>
          <w:bCs/>
          <w:color w:val="000000"/>
          <w:szCs w:val="20"/>
        </w:rPr>
        <w:t xml:space="preserve"> ROE, DER, DPR, DPS, EPS, PER </w:t>
      </w:r>
      <w:proofErr w:type="spellStart"/>
      <w:r w:rsidR="00007450" w:rsidRPr="00007450">
        <w:rPr>
          <w:bCs/>
          <w:color w:val="000000"/>
          <w:szCs w:val="20"/>
        </w:rPr>
        <w:t>dan</w:t>
      </w:r>
      <w:proofErr w:type="spellEnd"/>
      <w:r w:rsidR="00007450" w:rsidRPr="00007450">
        <w:rPr>
          <w:bCs/>
          <w:color w:val="000000"/>
          <w:szCs w:val="20"/>
        </w:rPr>
        <w:t xml:space="preserve"> PBV.</w:t>
      </w:r>
      <w:proofErr w:type="gramEnd"/>
      <w:r w:rsidR="00007450" w:rsidRPr="00007450">
        <w:rPr>
          <w:bCs/>
          <w:color w:val="000000"/>
          <w:szCs w:val="20"/>
        </w:rPr>
        <w:t xml:space="preserve"> </w:t>
      </w:r>
      <w:proofErr w:type="spellStart"/>
      <w:proofErr w:type="gramStart"/>
      <w:r w:rsidR="00007450" w:rsidRPr="00007450">
        <w:rPr>
          <w:bCs/>
          <w:color w:val="000000"/>
          <w:szCs w:val="20"/>
        </w:rPr>
        <w:t>Pengambilan</w:t>
      </w:r>
      <w:proofErr w:type="spellEnd"/>
      <w:r w:rsidR="00007450" w:rsidRPr="00007450">
        <w:rPr>
          <w:bCs/>
          <w:color w:val="000000"/>
          <w:szCs w:val="20"/>
        </w:rPr>
        <w:t xml:space="preserve"> </w:t>
      </w:r>
      <w:proofErr w:type="spellStart"/>
      <w:r w:rsidR="00007450" w:rsidRPr="00007450">
        <w:rPr>
          <w:bCs/>
          <w:color w:val="000000"/>
          <w:szCs w:val="20"/>
        </w:rPr>
        <w:t>keputusan</w:t>
      </w:r>
      <w:proofErr w:type="spellEnd"/>
      <w:r w:rsidR="00007450" w:rsidRPr="00007450">
        <w:rPr>
          <w:bCs/>
          <w:color w:val="000000"/>
          <w:szCs w:val="20"/>
        </w:rPr>
        <w:t xml:space="preserve"> </w:t>
      </w:r>
      <w:proofErr w:type="spellStart"/>
      <w:r w:rsidR="00007450" w:rsidRPr="00007450">
        <w:rPr>
          <w:bCs/>
          <w:color w:val="000000"/>
          <w:szCs w:val="20"/>
        </w:rPr>
        <w:t>investasi</w:t>
      </w:r>
      <w:proofErr w:type="spellEnd"/>
      <w:r w:rsidR="00007450" w:rsidRPr="00007450">
        <w:rPr>
          <w:bCs/>
          <w:color w:val="000000"/>
          <w:szCs w:val="20"/>
        </w:rPr>
        <w:t xml:space="preserve"> </w:t>
      </w:r>
      <w:proofErr w:type="spellStart"/>
      <w:r w:rsidR="00007450" w:rsidRPr="00007450">
        <w:rPr>
          <w:bCs/>
          <w:color w:val="000000"/>
          <w:szCs w:val="20"/>
        </w:rPr>
        <w:t>salah</w:t>
      </w:r>
      <w:proofErr w:type="spellEnd"/>
      <w:r w:rsidR="00007450" w:rsidRPr="00007450">
        <w:rPr>
          <w:bCs/>
          <w:color w:val="000000"/>
          <w:szCs w:val="20"/>
        </w:rPr>
        <w:t xml:space="preserve"> </w:t>
      </w:r>
      <w:proofErr w:type="spellStart"/>
      <w:r w:rsidR="00007450" w:rsidRPr="00007450">
        <w:rPr>
          <w:bCs/>
          <w:color w:val="000000"/>
          <w:szCs w:val="20"/>
        </w:rPr>
        <w:t>satunya</w:t>
      </w:r>
      <w:proofErr w:type="spellEnd"/>
      <w:r w:rsidR="00007450" w:rsidRPr="00007450">
        <w:rPr>
          <w:bCs/>
          <w:color w:val="000000"/>
          <w:szCs w:val="20"/>
        </w:rPr>
        <w:t xml:space="preserve"> </w:t>
      </w:r>
      <w:proofErr w:type="spellStart"/>
      <w:r w:rsidR="00007450" w:rsidRPr="00007450">
        <w:rPr>
          <w:bCs/>
          <w:color w:val="000000"/>
          <w:szCs w:val="20"/>
        </w:rPr>
        <w:t>dapat</w:t>
      </w:r>
      <w:proofErr w:type="spellEnd"/>
      <w:r w:rsidR="00007450" w:rsidRPr="00007450">
        <w:rPr>
          <w:bCs/>
          <w:color w:val="000000"/>
          <w:szCs w:val="20"/>
        </w:rPr>
        <w:t xml:space="preserve"> </w:t>
      </w:r>
      <w:proofErr w:type="spellStart"/>
      <w:r w:rsidR="00007450" w:rsidRPr="00007450">
        <w:rPr>
          <w:bCs/>
          <w:color w:val="000000"/>
          <w:szCs w:val="20"/>
        </w:rPr>
        <w:t>diperhitungkan</w:t>
      </w:r>
      <w:proofErr w:type="spellEnd"/>
      <w:r w:rsidR="00007450" w:rsidRPr="00007450">
        <w:rPr>
          <w:bCs/>
          <w:color w:val="000000"/>
          <w:szCs w:val="20"/>
        </w:rPr>
        <w:t xml:space="preserve"> </w:t>
      </w:r>
      <w:proofErr w:type="spellStart"/>
      <w:r w:rsidR="00007450" w:rsidRPr="00007450">
        <w:rPr>
          <w:bCs/>
          <w:color w:val="000000"/>
          <w:szCs w:val="20"/>
        </w:rPr>
        <w:t>melalui</w:t>
      </w:r>
      <w:proofErr w:type="spellEnd"/>
      <w:r w:rsidR="00007450" w:rsidRPr="00007450">
        <w:rPr>
          <w:bCs/>
          <w:color w:val="000000"/>
          <w:szCs w:val="20"/>
        </w:rPr>
        <w:t xml:space="preserve"> </w:t>
      </w:r>
      <w:proofErr w:type="spellStart"/>
      <w:r w:rsidR="00007450" w:rsidRPr="00007450">
        <w:rPr>
          <w:bCs/>
          <w:color w:val="000000"/>
          <w:szCs w:val="20"/>
        </w:rPr>
        <w:t>valuasi</w:t>
      </w:r>
      <w:proofErr w:type="spellEnd"/>
      <w:r w:rsidR="00007450" w:rsidRPr="00007450">
        <w:rPr>
          <w:bCs/>
          <w:color w:val="000000"/>
          <w:szCs w:val="20"/>
        </w:rPr>
        <w:t xml:space="preserve"> </w:t>
      </w:r>
      <w:proofErr w:type="spellStart"/>
      <w:r w:rsidR="00007450" w:rsidRPr="00007450">
        <w:rPr>
          <w:bCs/>
          <w:color w:val="000000"/>
          <w:szCs w:val="20"/>
        </w:rPr>
        <w:t>saham</w:t>
      </w:r>
      <w:proofErr w:type="spellEnd"/>
      <w:r w:rsidR="00007450" w:rsidRPr="00007450">
        <w:rPr>
          <w:bCs/>
          <w:color w:val="000000"/>
          <w:szCs w:val="20"/>
        </w:rPr>
        <w:t xml:space="preserve"> </w:t>
      </w:r>
      <w:proofErr w:type="spellStart"/>
      <w:r w:rsidR="00007450" w:rsidRPr="00007450">
        <w:rPr>
          <w:bCs/>
          <w:color w:val="000000"/>
          <w:szCs w:val="20"/>
        </w:rPr>
        <w:t>yaitu</w:t>
      </w:r>
      <w:proofErr w:type="spellEnd"/>
      <w:r w:rsidR="00007450" w:rsidRPr="00007450">
        <w:rPr>
          <w:bCs/>
          <w:color w:val="000000"/>
          <w:szCs w:val="20"/>
        </w:rPr>
        <w:t xml:space="preserve"> Price </w:t>
      </w:r>
      <w:proofErr w:type="spellStart"/>
      <w:r w:rsidR="00007450" w:rsidRPr="00007450">
        <w:rPr>
          <w:bCs/>
          <w:color w:val="000000"/>
          <w:szCs w:val="20"/>
        </w:rPr>
        <w:t>Earning</w:t>
      </w:r>
      <w:proofErr w:type="spellEnd"/>
      <w:r w:rsidR="00007450" w:rsidRPr="00007450">
        <w:rPr>
          <w:bCs/>
          <w:color w:val="000000"/>
          <w:szCs w:val="20"/>
        </w:rPr>
        <w:t xml:space="preserve"> Ratio (PER) </w:t>
      </w:r>
      <w:proofErr w:type="spellStart"/>
      <w:r w:rsidR="00007450" w:rsidRPr="00007450">
        <w:rPr>
          <w:bCs/>
          <w:color w:val="000000"/>
          <w:szCs w:val="20"/>
        </w:rPr>
        <w:t>dan</w:t>
      </w:r>
      <w:proofErr w:type="spellEnd"/>
      <w:r w:rsidR="00007450" w:rsidRPr="00007450">
        <w:rPr>
          <w:bCs/>
          <w:color w:val="000000"/>
          <w:szCs w:val="20"/>
        </w:rPr>
        <w:t xml:space="preserve"> Price to Book Value (PBV) (</w:t>
      </w:r>
      <w:proofErr w:type="spellStart"/>
      <w:r w:rsidR="00007450" w:rsidRPr="00007450">
        <w:rPr>
          <w:bCs/>
          <w:color w:val="000000"/>
          <w:szCs w:val="20"/>
        </w:rPr>
        <w:t>Nurhayati</w:t>
      </w:r>
      <w:proofErr w:type="spellEnd"/>
      <w:r w:rsidR="00007450" w:rsidRPr="00007450">
        <w:rPr>
          <w:bCs/>
          <w:color w:val="000000"/>
          <w:szCs w:val="20"/>
        </w:rPr>
        <w:t>, et al, 2022).</w:t>
      </w:r>
      <w:proofErr w:type="gramEnd"/>
      <w:r w:rsidRPr="00A43985">
        <w:rPr>
          <w:bCs/>
          <w:color w:val="000000"/>
          <w:szCs w:val="20"/>
          <w:lang w:val="id-ID"/>
        </w:rPr>
        <w:t xml:space="preserve"> </w:t>
      </w:r>
    </w:p>
    <w:p w14:paraId="1F440DB1" w14:textId="77777777" w:rsidR="00007450" w:rsidRDefault="00007450" w:rsidP="003A6E7F">
      <w:pPr>
        <w:ind w:firstLine="426"/>
        <w:jc w:val="both"/>
        <w:rPr>
          <w:bCs/>
          <w:color w:val="000000"/>
          <w:szCs w:val="20"/>
        </w:rPr>
      </w:pPr>
      <w:proofErr w:type="gramStart"/>
      <w:r>
        <w:rPr>
          <w:bCs/>
          <w:color w:val="000000"/>
          <w:szCs w:val="20"/>
        </w:rPr>
        <w:t>A</w:t>
      </w:r>
      <w:r w:rsidR="00A43985" w:rsidRPr="00A43985">
        <w:rPr>
          <w:bCs/>
          <w:color w:val="000000"/>
          <w:szCs w:val="20"/>
          <w:lang w:val="id-ID"/>
        </w:rPr>
        <w:t>nalisis teknikal yang merupakan analisis bagi investor yang berorientasi jangka pendek sebagai seorang trader.</w:t>
      </w:r>
      <w:proofErr w:type="gramEnd"/>
      <w:r w:rsidR="00A43985" w:rsidRPr="00A43985">
        <w:rPr>
          <w:bCs/>
          <w:color w:val="000000"/>
          <w:szCs w:val="20"/>
          <w:lang w:val="id-ID"/>
        </w:rPr>
        <w:t xml:space="preserve"> Analisis  teknikal </w:t>
      </w:r>
      <w:r w:rsidR="00E37029">
        <w:rPr>
          <w:bCs/>
          <w:color w:val="000000"/>
          <w:szCs w:val="20"/>
          <w:lang w:val="id-ID"/>
        </w:rPr>
        <w:t>adalah</w:t>
      </w:r>
      <w:r w:rsidR="00A43985" w:rsidRPr="00A43985">
        <w:rPr>
          <w:bCs/>
          <w:color w:val="000000"/>
          <w:szCs w:val="20"/>
          <w:lang w:val="id-ID"/>
        </w:rPr>
        <w:t xml:space="preserve"> salah satu </w:t>
      </w:r>
      <w:r w:rsidR="00E37029">
        <w:rPr>
          <w:bCs/>
          <w:color w:val="000000"/>
          <w:szCs w:val="20"/>
          <w:lang w:val="id-ID"/>
        </w:rPr>
        <w:t>cara</w:t>
      </w:r>
      <w:r w:rsidR="00A43985" w:rsidRPr="00A43985">
        <w:rPr>
          <w:bCs/>
          <w:color w:val="000000"/>
          <w:szCs w:val="20"/>
          <w:lang w:val="id-ID"/>
        </w:rPr>
        <w:t xml:space="preserve"> yang </w:t>
      </w:r>
      <w:r w:rsidR="00E37029">
        <w:rPr>
          <w:bCs/>
          <w:color w:val="000000"/>
          <w:szCs w:val="20"/>
          <w:lang w:val="id-ID"/>
        </w:rPr>
        <w:t>dimanfaatkan</w:t>
      </w:r>
      <w:r w:rsidR="00A43985" w:rsidRPr="00A43985">
        <w:rPr>
          <w:bCs/>
          <w:color w:val="000000"/>
          <w:szCs w:val="20"/>
          <w:lang w:val="id-ID"/>
        </w:rPr>
        <w:t xml:space="preserve"> untuk </w:t>
      </w:r>
      <w:r w:rsidR="00CC09ED">
        <w:rPr>
          <w:bCs/>
          <w:color w:val="000000"/>
          <w:szCs w:val="20"/>
          <w:lang w:val="id-ID"/>
        </w:rPr>
        <w:t>menghitung</w:t>
      </w:r>
      <w:r w:rsidR="00A43985" w:rsidRPr="00A43985">
        <w:rPr>
          <w:bCs/>
          <w:color w:val="000000"/>
          <w:szCs w:val="20"/>
          <w:lang w:val="id-ID"/>
        </w:rPr>
        <w:t xml:space="preserve"> saham </w:t>
      </w:r>
      <w:r w:rsidR="00A43985" w:rsidRPr="00A43985">
        <w:rPr>
          <w:bCs/>
          <w:color w:val="000000"/>
          <w:szCs w:val="20"/>
          <w:lang w:val="id-ID"/>
        </w:rPr>
        <w:lastRenderedPageBreak/>
        <w:t xml:space="preserve">dengan </w:t>
      </w:r>
      <w:r w:rsidR="00E37029">
        <w:rPr>
          <w:bCs/>
          <w:color w:val="000000"/>
          <w:szCs w:val="20"/>
          <w:lang w:val="id-ID"/>
        </w:rPr>
        <w:t>dasar</w:t>
      </w:r>
      <w:r w:rsidR="00A43985" w:rsidRPr="00A43985">
        <w:rPr>
          <w:bCs/>
          <w:color w:val="000000"/>
          <w:szCs w:val="20"/>
          <w:lang w:val="id-ID"/>
        </w:rPr>
        <w:t xml:space="preserve"> data-data statistik yang </w:t>
      </w:r>
      <w:r w:rsidR="00CC09ED">
        <w:rPr>
          <w:bCs/>
          <w:color w:val="000000"/>
          <w:szCs w:val="20"/>
          <w:lang w:val="id-ID"/>
        </w:rPr>
        <w:t>ada</w:t>
      </w:r>
      <w:r w:rsidR="00A43985" w:rsidRPr="00A43985">
        <w:rPr>
          <w:bCs/>
          <w:color w:val="000000"/>
          <w:szCs w:val="20"/>
          <w:lang w:val="id-ID"/>
        </w:rPr>
        <w:t xml:space="preserve"> dari aktivitas perdagangan saham </w:t>
      </w:r>
      <w:r w:rsidR="00E37029">
        <w:rPr>
          <w:bCs/>
          <w:color w:val="000000"/>
          <w:szCs w:val="20"/>
          <w:lang w:val="id-ID"/>
        </w:rPr>
        <w:t>antaranya</w:t>
      </w:r>
      <w:r w:rsidR="00A43985" w:rsidRPr="00A43985">
        <w:rPr>
          <w:bCs/>
          <w:color w:val="000000"/>
          <w:szCs w:val="20"/>
          <w:lang w:val="id-ID"/>
        </w:rPr>
        <w:t xml:space="preserve"> </w:t>
      </w:r>
      <w:r w:rsidR="00E37029">
        <w:rPr>
          <w:bCs/>
          <w:color w:val="000000"/>
          <w:szCs w:val="20"/>
          <w:lang w:val="id-ID"/>
        </w:rPr>
        <w:t xml:space="preserve">volume  transaksi, </w:t>
      </w:r>
      <w:r w:rsidR="00A43985" w:rsidRPr="00A43985">
        <w:rPr>
          <w:bCs/>
          <w:color w:val="000000"/>
          <w:szCs w:val="20"/>
          <w:lang w:val="id-ID"/>
        </w:rPr>
        <w:t>harga saham  (Karman, A. Et al : 2022).</w:t>
      </w:r>
      <w:r w:rsidR="00A43985">
        <w:rPr>
          <w:bCs/>
          <w:color w:val="000000"/>
          <w:szCs w:val="20"/>
          <w:lang w:val="id-ID"/>
        </w:rPr>
        <w:t xml:space="preserve"> </w:t>
      </w:r>
    </w:p>
    <w:p w14:paraId="67E14E93" w14:textId="6C7212C8" w:rsidR="00A43985" w:rsidRPr="00EA3F87" w:rsidRDefault="00A43985" w:rsidP="003A6E7F">
      <w:pPr>
        <w:ind w:firstLine="426"/>
        <w:jc w:val="both"/>
        <w:rPr>
          <w:bCs/>
          <w:color w:val="000000"/>
          <w:szCs w:val="20"/>
          <w:lang w:val="id-ID"/>
        </w:rPr>
      </w:pPr>
      <w:r w:rsidRPr="00A43985">
        <w:rPr>
          <w:bCs/>
          <w:color w:val="000000"/>
          <w:szCs w:val="20"/>
          <w:lang w:val="id-ID"/>
        </w:rPr>
        <w:t xml:space="preserve">Keuntungan yang bisa didapat dengan berinvestasi di pasar modal </w:t>
      </w:r>
      <w:r w:rsidR="00A35226">
        <w:rPr>
          <w:bCs/>
          <w:color w:val="000000"/>
          <w:szCs w:val="20"/>
          <w:lang w:val="id-ID"/>
        </w:rPr>
        <w:t>yakni</w:t>
      </w:r>
      <w:r w:rsidRPr="00A43985">
        <w:rPr>
          <w:bCs/>
          <w:color w:val="000000"/>
          <w:szCs w:val="20"/>
          <w:lang w:val="id-ID"/>
        </w:rPr>
        <w:t xml:space="preserve"> </w:t>
      </w:r>
      <w:r w:rsidR="00A35226" w:rsidRPr="00A43985">
        <w:rPr>
          <w:bCs/>
          <w:color w:val="000000"/>
          <w:szCs w:val="20"/>
          <w:lang w:val="id-ID"/>
        </w:rPr>
        <w:t xml:space="preserve">capital gain </w:t>
      </w:r>
      <w:r w:rsidRPr="00A43985">
        <w:rPr>
          <w:bCs/>
          <w:color w:val="000000"/>
          <w:szCs w:val="20"/>
          <w:lang w:val="id-ID"/>
        </w:rPr>
        <w:t xml:space="preserve">dan </w:t>
      </w:r>
      <w:r w:rsidR="00A35226" w:rsidRPr="00A43985">
        <w:rPr>
          <w:bCs/>
          <w:color w:val="000000"/>
          <w:szCs w:val="20"/>
          <w:lang w:val="id-ID"/>
        </w:rPr>
        <w:t xml:space="preserve">dividen </w:t>
      </w:r>
      <w:r w:rsidRPr="00A43985">
        <w:rPr>
          <w:bCs/>
          <w:color w:val="000000"/>
          <w:szCs w:val="20"/>
          <w:lang w:val="id-ID"/>
        </w:rPr>
        <w:t xml:space="preserve">yang merupakan hasil yang diperoleh dari selisih antara nilai jual dan nilai beli saham bila investor menjual saham tersebut (Tambunan, D : 2020). Investor yang berorientasi jangka panjang cenderung membidik perolehan dividen. Bursa Efek Indonesia selaku salah satu entitas dalam </w:t>
      </w:r>
      <w:r w:rsidR="00007450" w:rsidRPr="00A43985">
        <w:rPr>
          <w:bCs/>
          <w:color w:val="000000"/>
          <w:szCs w:val="20"/>
          <w:lang w:val="id-ID"/>
        </w:rPr>
        <w:t xml:space="preserve">pasar modal </w:t>
      </w:r>
      <w:r w:rsidRPr="00A43985">
        <w:rPr>
          <w:bCs/>
          <w:color w:val="000000"/>
          <w:szCs w:val="20"/>
          <w:lang w:val="id-ID"/>
        </w:rPr>
        <w:t xml:space="preserve">memberikan suatu kemudahan bagi investor yang berorientasi pada dividen yang diperoleh melalui adanya indeks saham. Indeks saham </w:t>
      </w:r>
      <w:r w:rsidR="00A35226">
        <w:rPr>
          <w:bCs/>
          <w:color w:val="000000"/>
          <w:szCs w:val="20"/>
          <w:lang w:val="id-ID"/>
        </w:rPr>
        <w:t>adalah</w:t>
      </w:r>
      <w:r w:rsidR="00CC09ED">
        <w:rPr>
          <w:bCs/>
          <w:color w:val="000000"/>
          <w:szCs w:val="20"/>
          <w:lang w:val="id-ID"/>
        </w:rPr>
        <w:t xml:space="preserve"> suatu</w:t>
      </w:r>
      <w:r w:rsidRPr="00A43985">
        <w:rPr>
          <w:bCs/>
          <w:color w:val="000000"/>
          <w:szCs w:val="20"/>
          <w:lang w:val="id-ID"/>
        </w:rPr>
        <w:t xml:space="preserve"> ukuran statistik yang </w:t>
      </w:r>
      <w:r w:rsidR="00A35226">
        <w:rPr>
          <w:bCs/>
          <w:color w:val="000000"/>
          <w:szCs w:val="20"/>
          <w:lang w:val="id-ID"/>
        </w:rPr>
        <w:t>merepresentasikan</w:t>
      </w:r>
      <w:r w:rsidRPr="00A43985">
        <w:rPr>
          <w:bCs/>
          <w:color w:val="000000"/>
          <w:szCs w:val="20"/>
          <w:lang w:val="id-ID"/>
        </w:rPr>
        <w:t xml:space="preserve"> keseluruhan pergerakan </w:t>
      </w:r>
      <w:r w:rsidR="00CC09ED">
        <w:rPr>
          <w:bCs/>
          <w:color w:val="000000"/>
          <w:szCs w:val="20"/>
          <w:lang w:val="id-ID"/>
        </w:rPr>
        <w:t xml:space="preserve">atau aktivitas </w:t>
      </w:r>
      <w:r w:rsidRPr="00A43985">
        <w:rPr>
          <w:bCs/>
          <w:color w:val="000000"/>
          <w:szCs w:val="20"/>
          <w:lang w:val="id-ID"/>
        </w:rPr>
        <w:t xml:space="preserve">harga atas </w:t>
      </w:r>
      <w:r w:rsidR="00CC09ED">
        <w:rPr>
          <w:bCs/>
          <w:color w:val="000000"/>
          <w:szCs w:val="20"/>
          <w:lang w:val="id-ID"/>
        </w:rPr>
        <w:t>sekelompok</w:t>
      </w:r>
      <w:r w:rsidRPr="00A43985">
        <w:rPr>
          <w:bCs/>
          <w:color w:val="000000"/>
          <w:szCs w:val="20"/>
          <w:lang w:val="id-ID"/>
        </w:rPr>
        <w:t xml:space="preserve"> saham yang </w:t>
      </w:r>
      <w:r w:rsidR="00CC09ED">
        <w:rPr>
          <w:bCs/>
          <w:color w:val="000000"/>
          <w:szCs w:val="20"/>
          <w:lang w:val="id-ID"/>
        </w:rPr>
        <w:t>ditentukan</w:t>
      </w:r>
      <w:r w:rsidRPr="00A43985">
        <w:rPr>
          <w:bCs/>
          <w:color w:val="000000"/>
          <w:szCs w:val="20"/>
          <w:lang w:val="id-ID"/>
        </w:rPr>
        <w:t xml:space="preserve"> berdasarkan</w:t>
      </w:r>
      <w:r w:rsidR="00A35226">
        <w:rPr>
          <w:bCs/>
          <w:color w:val="000000"/>
          <w:szCs w:val="20"/>
          <w:lang w:val="id-ID"/>
        </w:rPr>
        <w:t xml:space="preserve"> beberapa</w:t>
      </w:r>
      <w:r w:rsidRPr="00A43985">
        <w:rPr>
          <w:bCs/>
          <w:color w:val="000000"/>
          <w:szCs w:val="20"/>
          <w:lang w:val="id-ID"/>
        </w:rPr>
        <w:t xml:space="preserve"> kriteri</w:t>
      </w:r>
      <w:r w:rsidR="00A35226">
        <w:rPr>
          <w:bCs/>
          <w:color w:val="000000"/>
          <w:szCs w:val="20"/>
          <w:lang w:val="id-ID"/>
        </w:rPr>
        <w:t>a dan met</w:t>
      </w:r>
      <w:r w:rsidR="00F84A32">
        <w:rPr>
          <w:bCs/>
          <w:color w:val="000000"/>
          <w:szCs w:val="20"/>
          <w:lang w:val="id-ID"/>
        </w:rPr>
        <w:t xml:space="preserve">odologi tertentu yang juga </w:t>
      </w:r>
      <w:r w:rsidRPr="00A43985">
        <w:rPr>
          <w:bCs/>
          <w:color w:val="000000"/>
          <w:szCs w:val="20"/>
          <w:lang w:val="id-ID"/>
        </w:rPr>
        <w:t xml:space="preserve">dievaluasi secara berkala (www.idx.co.id). IDX high dividend 20 merupakan </w:t>
      </w:r>
      <w:r w:rsidR="000A517F">
        <w:rPr>
          <w:bCs/>
          <w:color w:val="000000"/>
          <w:szCs w:val="20"/>
          <w:lang w:val="id-ID"/>
        </w:rPr>
        <w:t>satu diantara berbagai</w:t>
      </w:r>
      <w:r w:rsidRPr="00A43985">
        <w:rPr>
          <w:bCs/>
          <w:color w:val="000000"/>
          <w:szCs w:val="20"/>
          <w:lang w:val="id-ID"/>
        </w:rPr>
        <w:t xml:space="preserve"> indeks yang mengukur </w:t>
      </w:r>
      <w:r w:rsidR="00CC09ED">
        <w:rPr>
          <w:bCs/>
          <w:color w:val="000000"/>
          <w:szCs w:val="20"/>
          <w:lang w:val="id-ID"/>
        </w:rPr>
        <w:t xml:space="preserve">suatu </w:t>
      </w:r>
      <w:r w:rsidRPr="00A43985">
        <w:rPr>
          <w:bCs/>
          <w:color w:val="000000"/>
          <w:szCs w:val="20"/>
          <w:lang w:val="id-ID"/>
        </w:rPr>
        <w:t xml:space="preserve">kinerja harga dari 20 </w:t>
      </w:r>
      <w:r w:rsidR="00CC09ED">
        <w:rPr>
          <w:bCs/>
          <w:color w:val="000000"/>
          <w:szCs w:val="20"/>
          <w:lang w:val="id-ID"/>
        </w:rPr>
        <w:t xml:space="preserve">emiten atau </w:t>
      </w:r>
      <w:r w:rsidRPr="00A43985">
        <w:rPr>
          <w:bCs/>
          <w:color w:val="000000"/>
          <w:szCs w:val="20"/>
          <w:lang w:val="id-ID"/>
        </w:rPr>
        <w:t xml:space="preserve">saham yang </w:t>
      </w:r>
      <w:r w:rsidR="00CC09ED">
        <w:rPr>
          <w:bCs/>
          <w:color w:val="000000"/>
          <w:szCs w:val="20"/>
          <w:lang w:val="id-ID"/>
        </w:rPr>
        <w:t>mendistribusikan</w:t>
      </w:r>
      <w:r w:rsidRPr="00A43985">
        <w:rPr>
          <w:bCs/>
          <w:color w:val="000000"/>
          <w:szCs w:val="20"/>
          <w:lang w:val="id-ID"/>
        </w:rPr>
        <w:t xml:space="preserve"> dividen tunai selama</w:t>
      </w:r>
      <w:r w:rsidR="00CC09ED">
        <w:rPr>
          <w:bCs/>
          <w:color w:val="000000"/>
          <w:szCs w:val="20"/>
          <w:lang w:val="id-ID"/>
        </w:rPr>
        <w:t xml:space="preserve"> dalam</w:t>
      </w:r>
      <w:r w:rsidRPr="00A43985">
        <w:rPr>
          <w:bCs/>
          <w:color w:val="000000"/>
          <w:szCs w:val="20"/>
          <w:lang w:val="id-ID"/>
        </w:rPr>
        <w:t xml:space="preserve"> 3 tahun terakhir dan </w:t>
      </w:r>
      <w:r w:rsidR="00CC09ED" w:rsidRPr="00CC09ED">
        <w:rPr>
          <w:bCs/>
          <w:color w:val="000000"/>
          <w:szCs w:val="20"/>
          <w:lang w:val="id-ID"/>
        </w:rPr>
        <w:t>ber-</w:t>
      </w:r>
      <w:r w:rsidRPr="00CC09ED">
        <w:rPr>
          <w:bCs/>
          <w:i/>
          <w:color w:val="000000"/>
          <w:szCs w:val="20"/>
          <w:lang w:val="id-ID"/>
        </w:rPr>
        <w:t xml:space="preserve">dividend yield </w:t>
      </w:r>
      <w:r w:rsidRPr="00A43985">
        <w:rPr>
          <w:bCs/>
          <w:color w:val="000000"/>
          <w:szCs w:val="20"/>
          <w:lang w:val="id-ID"/>
        </w:rPr>
        <w:t xml:space="preserve">yang tinggi. Meskipun para investor sudah terbantu dengan adanya indeks saham ini, namun masih diperlukan untuk mempertimbangkan aspek fundamental dalam pengambilan keputusan berinvestasi. </w:t>
      </w:r>
    </w:p>
    <w:p w14:paraId="2A0967CF" w14:textId="177A8D94" w:rsidR="00012AE6" w:rsidRPr="00007450" w:rsidRDefault="00012AE6" w:rsidP="003A6E7F">
      <w:pPr>
        <w:pStyle w:val="Heading1"/>
        <w:numPr>
          <w:ilvl w:val="0"/>
          <w:numId w:val="0"/>
        </w:numPr>
        <w:tabs>
          <w:tab w:val="left" w:pos="0"/>
        </w:tabs>
        <w:suppressAutoHyphens/>
        <w:spacing w:after="0"/>
        <w:rPr>
          <w:lang w:val="en-US"/>
        </w:rPr>
      </w:pPr>
    </w:p>
    <w:p w14:paraId="45E042C5" w14:textId="77777777" w:rsidR="00012AE6" w:rsidRDefault="00012AE6" w:rsidP="003A6E7F">
      <w:pPr>
        <w:rPr>
          <w:b/>
          <w:lang w:val="id-ID"/>
        </w:rPr>
      </w:pPr>
    </w:p>
    <w:p w14:paraId="558B1326" w14:textId="19688B42" w:rsidR="00EA7A30" w:rsidRDefault="00EA7A30" w:rsidP="003A6E7F">
      <w:pPr>
        <w:pStyle w:val="ListParagraph"/>
        <w:numPr>
          <w:ilvl w:val="0"/>
          <w:numId w:val="5"/>
        </w:numPr>
        <w:ind w:left="284" w:hanging="284"/>
        <w:rPr>
          <w:b/>
          <w:lang w:val="id-ID"/>
        </w:rPr>
      </w:pPr>
      <w:r w:rsidRPr="00012AE6">
        <w:rPr>
          <w:b/>
          <w:lang w:val="id-ID"/>
        </w:rPr>
        <w:t>METODE PENELITIAN</w:t>
      </w:r>
    </w:p>
    <w:p w14:paraId="7E7B847E" w14:textId="736AAA18" w:rsidR="00012AE6" w:rsidRDefault="00CC09ED" w:rsidP="003A6E7F">
      <w:pPr>
        <w:ind w:firstLine="426"/>
        <w:jc w:val="both"/>
        <w:rPr>
          <w:szCs w:val="20"/>
          <w:lang w:val="id-ID"/>
        </w:rPr>
      </w:pPr>
      <w:proofErr w:type="spellStart"/>
      <w:proofErr w:type="gramStart"/>
      <w:r>
        <w:rPr>
          <w:szCs w:val="20"/>
        </w:rPr>
        <w:t>Jenis</w:t>
      </w:r>
      <w:proofErr w:type="spellEnd"/>
      <w:r>
        <w:rPr>
          <w:szCs w:val="20"/>
        </w:rPr>
        <w:t xml:space="preserve"> </w:t>
      </w:r>
      <w:proofErr w:type="spellStart"/>
      <w:r>
        <w:rPr>
          <w:szCs w:val="20"/>
        </w:rPr>
        <w:t>penelitian</w:t>
      </w:r>
      <w:proofErr w:type="spellEnd"/>
      <w:r w:rsidR="00012AE6" w:rsidRPr="00012AE6">
        <w:rPr>
          <w:szCs w:val="20"/>
        </w:rPr>
        <w:t xml:space="preserve"> </w:t>
      </w:r>
      <w:r>
        <w:rPr>
          <w:szCs w:val="20"/>
          <w:lang w:val="id-ID"/>
        </w:rPr>
        <w:t>ialah</w:t>
      </w:r>
      <w:r w:rsidR="00012AE6" w:rsidRPr="00012AE6">
        <w:rPr>
          <w:szCs w:val="20"/>
        </w:rPr>
        <w:t xml:space="preserve"> </w:t>
      </w:r>
      <w:proofErr w:type="spellStart"/>
      <w:r w:rsidR="00012AE6" w:rsidRPr="00012AE6">
        <w:rPr>
          <w:szCs w:val="20"/>
        </w:rPr>
        <w:t>penelitian</w:t>
      </w:r>
      <w:proofErr w:type="spellEnd"/>
      <w:r w:rsidR="00012AE6" w:rsidRPr="00012AE6">
        <w:rPr>
          <w:szCs w:val="20"/>
        </w:rPr>
        <w:t xml:space="preserve"> </w:t>
      </w:r>
      <w:proofErr w:type="spellStart"/>
      <w:r w:rsidR="00012AE6" w:rsidRPr="00012AE6">
        <w:rPr>
          <w:szCs w:val="20"/>
        </w:rPr>
        <w:t>kuantitatif</w:t>
      </w:r>
      <w:proofErr w:type="spellEnd"/>
      <w:r w:rsidR="00012AE6" w:rsidRPr="00012AE6">
        <w:rPr>
          <w:szCs w:val="20"/>
        </w:rPr>
        <w:t xml:space="preserve"> </w:t>
      </w:r>
      <w:proofErr w:type="spellStart"/>
      <w:r w:rsidR="00012AE6" w:rsidRPr="00012AE6">
        <w:rPr>
          <w:szCs w:val="20"/>
        </w:rPr>
        <w:t>dengan</w:t>
      </w:r>
      <w:proofErr w:type="spellEnd"/>
      <w:r w:rsidR="00012AE6" w:rsidRPr="00012AE6">
        <w:rPr>
          <w:szCs w:val="20"/>
        </w:rPr>
        <w:t xml:space="preserve"> </w:t>
      </w:r>
      <w:proofErr w:type="spellStart"/>
      <w:r w:rsidR="00012AE6" w:rsidRPr="00012AE6">
        <w:rPr>
          <w:szCs w:val="20"/>
        </w:rPr>
        <w:t>pendekatan</w:t>
      </w:r>
      <w:proofErr w:type="spellEnd"/>
      <w:r w:rsidR="00012AE6" w:rsidRPr="00012AE6">
        <w:rPr>
          <w:szCs w:val="20"/>
        </w:rPr>
        <w:t xml:space="preserve"> </w:t>
      </w:r>
      <w:proofErr w:type="spellStart"/>
      <w:r w:rsidR="00012AE6" w:rsidRPr="00012AE6">
        <w:rPr>
          <w:szCs w:val="20"/>
        </w:rPr>
        <w:t>deskriptif</w:t>
      </w:r>
      <w:proofErr w:type="spellEnd"/>
      <w:r w:rsidR="00012AE6" w:rsidRPr="00012AE6">
        <w:rPr>
          <w:szCs w:val="20"/>
        </w:rPr>
        <w:t>.</w:t>
      </w:r>
      <w:proofErr w:type="gramEnd"/>
      <w:r w:rsidR="00012AE6" w:rsidRPr="00012AE6">
        <w:rPr>
          <w:szCs w:val="20"/>
          <w:lang w:val="id-ID"/>
        </w:rPr>
        <w:t xml:space="preserve"> </w:t>
      </w:r>
      <w:proofErr w:type="spellStart"/>
      <w:proofErr w:type="gramStart"/>
      <w:r w:rsidR="00647A65">
        <w:rPr>
          <w:szCs w:val="20"/>
        </w:rPr>
        <w:t>P</w:t>
      </w:r>
      <w:r w:rsidR="00012AE6" w:rsidRPr="00012AE6">
        <w:rPr>
          <w:szCs w:val="20"/>
        </w:rPr>
        <w:t>enelitian</w:t>
      </w:r>
      <w:proofErr w:type="spellEnd"/>
      <w:r w:rsidR="00012AE6" w:rsidRPr="00012AE6">
        <w:rPr>
          <w:szCs w:val="20"/>
        </w:rPr>
        <w:t xml:space="preserve"> </w:t>
      </w:r>
      <w:proofErr w:type="spellStart"/>
      <w:r w:rsidR="00012AE6" w:rsidRPr="00012AE6">
        <w:rPr>
          <w:szCs w:val="20"/>
        </w:rPr>
        <w:t>ini</w:t>
      </w:r>
      <w:proofErr w:type="spellEnd"/>
      <w:r w:rsidR="00012AE6" w:rsidRPr="00012AE6">
        <w:rPr>
          <w:szCs w:val="20"/>
        </w:rPr>
        <w:t xml:space="preserve"> </w:t>
      </w:r>
      <w:r w:rsidR="00647A65">
        <w:rPr>
          <w:szCs w:val="20"/>
          <w:lang w:val="id-ID"/>
        </w:rPr>
        <w:t>berpopulasi</w:t>
      </w:r>
      <w:r w:rsidR="00012AE6" w:rsidRPr="00012AE6">
        <w:rPr>
          <w:szCs w:val="20"/>
        </w:rPr>
        <w:t xml:space="preserve"> </w:t>
      </w:r>
      <w:r w:rsidR="00E003C4">
        <w:rPr>
          <w:szCs w:val="20"/>
          <w:lang w:val="id-ID"/>
        </w:rPr>
        <w:t>semua</w:t>
      </w:r>
      <w:r w:rsidR="00012AE6" w:rsidRPr="00012AE6">
        <w:rPr>
          <w:szCs w:val="20"/>
        </w:rPr>
        <w:t xml:space="preserve"> </w:t>
      </w:r>
      <w:proofErr w:type="spellStart"/>
      <w:r w:rsidR="00012AE6" w:rsidRPr="00012AE6">
        <w:rPr>
          <w:szCs w:val="20"/>
        </w:rPr>
        <w:t>perusahaan</w:t>
      </w:r>
      <w:proofErr w:type="spellEnd"/>
      <w:r w:rsidR="00012AE6" w:rsidRPr="00012AE6">
        <w:rPr>
          <w:szCs w:val="20"/>
        </w:rPr>
        <w:t xml:space="preserve"> yang </w:t>
      </w:r>
      <w:r w:rsidR="00E003C4">
        <w:rPr>
          <w:szCs w:val="20"/>
          <w:lang w:val="id-ID"/>
        </w:rPr>
        <w:t>masuk</w:t>
      </w:r>
      <w:r w:rsidR="00012AE6" w:rsidRPr="00012AE6">
        <w:rPr>
          <w:szCs w:val="20"/>
        </w:rPr>
        <w:t xml:space="preserve"> </w:t>
      </w:r>
      <w:proofErr w:type="spellStart"/>
      <w:r w:rsidR="00012AE6" w:rsidRPr="00012AE6">
        <w:rPr>
          <w:szCs w:val="20"/>
        </w:rPr>
        <w:t>dalam</w:t>
      </w:r>
      <w:proofErr w:type="spellEnd"/>
      <w:r w:rsidR="00012AE6" w:rsidRPr="00012AE6">
        <w:rPr>
          <w:szCs w:val="20"/>
        </w:rPr>
        <w:t xml:space="preserve"> </w:t>
      </w:r>
      <w:proofErr w:type="spellStart"/>
      <w:r w:rsidR="00012AE6" w:rsidRPr="00012AE6">
        <w:rPr>
          <w:szCs w:val="20"/>
        </w:rPr>
        <w:t>indeks</w:t>
      </w:r>
      <w:proofErr w:type="spellEnd"/>
      <w:r w:rsidR="00012AE6" w:rsidRPr="00012AE6">
        <w:rPr>
          <w:szCs w:val="20"/>
        </w:rPr>
        <w:t xml:space="preserve"> </w:t>
      </w:r>
      <w:r w:rsidR="00012AE6" w:rsidRPr="00012AE6">
        <w:rPr>
          <w:i/>
          <w:szCs w:val="20"/>
        </w:rPr>
        <w:t xml:space="preserve">high </w:t>
      </w:r>
      <w:proofErr w:type="spellStart"/>
      <w:r w:rsidR="00012AE6" w:rsidRPr="00012AE6">
        <w:rPr>
          <w:i/>
          <w:szCs w:val="20"/>
        </w:rPr>
        <w:t>dividen</w:t>
      </w:r>
      <w:proofErr w:type="spellEnd"/>
      <w:r w:rsidR="00012AE6" w:rsidRPr="00012AE6">
        <w:rPr>
          <w:i/>
          <w:szCs w:val="20"/>
        </w:rPr>
        <w:t xml:space="preserve"> </w:t>
      </w:r>
      <w:r w:rsidR="00012AE6" w:rsidRPr="00012AE6">
        <w:rPr>
          <w:szCs w:val="20"/>
        </w:rPr>
        <w:t>20.</w:t>
      </w:r>
      <w:proofErr w:type="gramEnd"/>
      <w:r w:rsidR="00012AE6" w:rsidRPr="00012AE6">
        <w:rPr>
          <w:szCs w:val="20"/>
        </w:rPr>
        <w:t xml:space="preserve"> </w:t>
      </w:r>
      <w:proofErr w:type="spellStart"/>
      <w:r w:rsidR="00012AE6" w:rsidRPr="00012AE6">
        <w:rPr>
          <w:szCs w:val="20"/>
        </w:rPr>
        <w:t>Pengambilan</w:t>
      </w:r>
      <w:proofErr w:type="spellEnd"/>
      <w:r w:rsidR="00012AE6" w:rsidRPr="00012AE6">
        <w:rPr>
          <w:szCs w:val="20"/>
        </w:rPr>
        <w:t xml:space="preserve"> </w:t>
      </w:r>
      <w:proofErr w:type="spellStart"/>
      <w:r w:rsidR="00012AE6" w:rsidRPr="00012AE6">
        <w:rPr>
          <w:szCs w:val="20"/>
        </w:rPr>
        <w:t>sampel</w:t>
      </w:r>
      <w:proofErr w:type="spellEnd"/>
      <w:r w:rsidR="00012AE6" w:rsidRPr="00012AE6">
        <w:rPr>
          <w:szCs w:val="20"/>
        </w:rPr>
        <w:t xml:space="preserve"> </w:t>
      </w:r>
      <w:r>
        <w:rPr>
          <w:szCs w:val="20"/>
          <w:lang w:val="id-ID"/>
        </w:rPr>
        <w:t>dengan</w:t>
      </w:r>
      <w:r w:rsidR="00012AE6" w:rsidRPr="00012AE6">
        <w:rPr>
          <w:szCs w:val="20"/>
        </w:rPr>
        <w:t xml:space="preserve"> </w:t>
      </w:r>
      <w:r w:rsidR="00012AE6" w:rsidRPr="00CC09ED">
        <w:rPr>
          <w:i/>
          <w:szCs w:val="20"/>
        </w:rPr>
        <w:t xml:space="preserve">purposive sampling </w:t>
      </w:r>
      <w:r w:rsidRPr="00CC09ED">
        <w:rPr>
          <w:i/>
          <w:szCs w:val="20"/>
          <w:lang w:val="id-ID"/>
        </w:rPr>
        <w:t>method</w:t>
      </w:r>
      <w:r>
        <w:rPr>
          <w:szCs w:val="20"/>
          <w:lang w:val="id-ID"/>
        </w:rPr>
        <w:t xml:space="preserve"> yang</w:t>
      </w:r>
      <w:r w:rsidR="00254736">
        <w:rPr>
          <w:szCs w:val="20"/>
        </w:rPr>
        <w:t xml:space="preserve"> </w:t>
      </w:r>
      <w:r>
        <w:rPr>
          <w:szCs w:val="20"/>
          <w:lang w:val="id-ID"/>
        </w:rPr>
        <w:t>ber</w:t>
      </w:r>
      <w:proofErr w:type="spellStart"/>
      <w:r w:rsidR="00254736">
        <w:rPr>
          <w:szCs w:val="20"/>
        </w:rPr>
        <w:t>kriteria</w:t>
      </w:r>
      <w:proofErr w:type="spellEnd"/>
      <w:r w:rsidR="00254736">
        <w:rPr>
          <w:szCs w:val="20"/>
        </w:rPr>
        <w:t xml:space="preserve"> </w:t>
      </w:r>
      <w:proofErr w:type="spellStart"/>
      <w:r w:rsidR="00254736">
        <w:rPr>
          <w:szCs w:val="20"/>
        </w:rPr>
        <w:t>sebagai</w:t>
      </w:r>
      <w:proofErr w:type="spellEnd"/>
      <w:r w:rsidR="00254736">
        <w:rPr>
          <w:szCs w:val="20"/>
        </w:rPr>
        <w:t xml:space="preserve"> </w:t>
      </w:r>
      <w:proofErr w:type="spellStart"/>
      <w:r w:rsidR="00254736">
        <w:rPr>
          <w:szCs w:val="20"/>
        </w:rPr>
        <w:t>berikut</w:t>
      </w:r>
      <w:proofErr w:type="spellEnd"/>
      <w:r w:rsidR="00254736">
        <w:rPr>
          <w:szCs w:val="20"/>
        </w:rPr>
        <w:t xml:space="preserve"> </w:t>
      </w:r>
      <w:r w:rsidR="00254736">
        <w:rPr>
          <w:szCs w:val="20"/>
          <w:lang w:val="id-ID"/>
        </w:rPr>
        <w:t xml:space="preserve">a) </w:t>
      </w:r>
      <w:r w:rsidR="00FB04D0">
        <w:rPr>
          <w:szCs w:val="20"/>
          <w:lang w:val="id-ID"/>
        </w:rPr>
        <w:t>Emiten</w:t>
      </w:r>
      <w:r w:rsidR="00012AE6" w:rsidRPr="00254736">
        <w:rPr>
          <w:szCs w:val="20"/>
        </w:rPr>
        <w:t xml:space="preserve"> yang </w:t>
      </w:r>
      <w:proofErr w:type="spellStart"/>
      <w:r w:rsidR="00012AE6" w:rsidRPr="00254736">
        <w:rPr>
          <w:szCs w:val="20"/>
        </w:rPr>
        <w:t>terdaftar</w:t>
      </w:r>
      <w:proofErr w:type="spellEnd"/>
      <w:r w:rsidR="00012AE6" w:rsidRPr="00254736">
        <w:rPr>
          <w:szCs w:val="20"/>
        </w:rPr>
        <w:t xml:space="preserve"> </w:t>
      </w:r>
      <w:proofErr w:type="spellStart"/>
      <w:r w:rsidR="00012AE6" w:rsidRPr="00254736">
        <w:rPr>
          <w:szCs w:val="20"/>
        </w:rPr>
        <w:t>dalam</w:t>
      </w:r>
      <w:proofErr w:type="spellEnd"/>
      <w:r w:rsidR="00012AE6" w:rsidRPr="00254736">
        <w:rPr>
          <w:szCs w:val="20"/>
        </w:rPr>
        <w:t xml:space="preserve"> </w:t>
      </w:r>
      <w:proofErr w:type="spellStart"/>
      <w:r w:rsidR="00012AE6" w:rsidRPr="00254736">
        <w:rPr>
          <w:szCs w:val="20"/>
        </w:rPr>
        <w:t>indeks</w:t>
      </w:r>
      <w:proofErr w:type="spellEnd"/>
      <w:r w:rsidR="00012AE6" w:rsidRPr="00254736">
        <w:rPr>
          <w:szCs w:val="20"/>
        </w:rPr>
        <w:t xml:space="preserve"> HIDIV 20 </w:t>
      </w:r>
      <w:proofErr w:type="spellStart"/>
      <w:r w:rsidR="00012AE6" w:rsidRPr="00254736">
        <w:rPr>
          <w:szCs w:val="20"/>
        </w:rPr>
        <w:t>selama</w:t>
      </w:r>
      <w:proofErr w:type="spellEnd"/>
      <w:r w:rsidR="00012AE6" w:rsidRPr="00254736">
        <w:rPr>
          <w:szCs w:val="20"/>
        </w:rPr>
        <w:t xml:space="preserve"> 5 </w:t>
      </w:r>
      <w:proofErr w:type="spellStart"/>
      <w:r w:rsidR="00012AE6" w:rsidRPr="00254736">
        <w:rPr>
          <w:szCs w:val="20"/>
        </w:rPr>
        <w:t>tahun</w:t>
      </w:r>
      <w:proofErr w:type="spellEnd"/>
      <w:r w:rsidR="00FB04D0">
        <w:rPr>
          <w:szCs w:val="20"/>
          <w:lang w:val="id-ID"/>
        </w:rPr>
        <w:t>,</w:t>
      </w:r>
      <w:r w:rsidR="00012AE6" w:rsidRPr="00254736">
        <w:rPr>
          <w:szCs w:val="20"/>
        </w:rPr>
        <w:t xml:space="preserve"> </w:t>
      </w:r>
      <w:r w:rsidR="00FB04D0">
        <w:rPr>
          <w:szCs w:val="20"/>
        </w:rPr>
        <w:t>2017-2021</w:t>
      </w:r>
      <w:r w:rsidR="00254736">
        <w:rPr>
          <w:szCs w:val="20"/>
          <w:lang w:val="id-ID"/>
        </w:rPr>
        <w:t xml:space="preserve">; b) </w:t>
      </w:r>
      <w:r w:rsidR="00FB04D0">
        <w:rPr>
          <w:szCs w:val="20"/>
          <w:lang w:val="id-ID"/>
        </w:rPr>
        <w:t>Emiten</w:t>
      </w:r>
      <w:r w:rsidR="00012AE6" w:rsidRPr="00254736">
        <w:rPr>
          <w:szCs w:val="20"/>
        </w:rPr>
        <w:t xml:space="preserve"> yang </w:t>
      </w:r>
      <w:r w:rsidR="00E856E1">
        <w:rPr>
          <w:szCs w:val="20"/>
          <w:lang w:val="id-ID"/>
        </w:rPr>
        <w:t>merilis</w:t>
      </w:r>
      <w:r w:rsidR="00012AE6" w:rsidRPr="00254736">
        <w:rPr>
          <w:szCs w:val="20"/>
        </w:rPr>
        <w:t xml:space="preserve"> </w:t>
      </w:r>
      <w:r w:rsidR="00FB04D0" w:rsidRPr="00FB04D0">
        <w:rPr>
          <w:i/>
          <w:szCs w:val="20"/>
          <w:lang w:val="id-ID"/>
        </w:rPr>
        <w:t>financial report</w:t>
      </w:r>
      <w:r w:rsidR="00012AE6" w:rsidRPr="00254736">
        <w:rPr>
          <w:szCs w:val="20"/>
        </w:rPr>
        <w:t xml:space="preserve"> </w:t>
      </w:r>
      <w:proofErr w:type="spellStart"/>
      <w:r w:rsidR="00012AE6" w:rsidRPr="00254736">
        <w:rPr>
          <w:szCs w:val="20"/>
        </w:rPr>
        <w:t>dalam</w:t>
      </w:r>
      <w:proofErr w:type="spellEnd"/>
      <w:r w:rsidR="00012AE6" w:rsidRPr="00254736">
        <w:rPr>
          <w:szCs w:val="20"/>
        </w:rPr>
        <w:t xml:space="preserve"> </w:t>
      </w:r>
      <w:proofErr w:type="spellStart"/>
      <w:r w:rsidR="00012AE6" w:rsidRPr="00254736">
        <w:rPr>
          <w:szCs w:val="20"/>
        </w:rPr>
        <w:t>mata</w:t>
      </w:r>
      <w:proofErr w:type="spellEnd"/>
      <w:r w:rsidR="00012AE6" w:rsidRPr="00254736">
        <w:rPr>
          <w:szCs w:val="20"/>
        </w:rPr>
        <w:t xml:space="preserve"> </w:t>
      </w:r>
      <w:proofErr w:type="spellStart"/>
      <w:r w:rsidR="00012AE6" w:rsidRPr="00254736">
        <w:rPr>
          <w:szCs w:val="20"/>
        </w:rPr>
        <w:t>uang</w:t>
      </w:r>
      <w:proofErr w:type="spellEnd"/>
      <w:r w:rsidR="00012AE6" w:rsidRPr="00254736">
        <w:rPr>
          <w:szCs w:val="20"/>
        </w:rPr>
        <w:t xml:space="preserve"> rupiah</w:t>
      </w:r>
      <w:r w:rsidR="00254736">
        <w:rPr>
          <w:szCs w:val="20"/>
          <w:lang w:val="id-ID"/>
        </w:rPr>
        <w:t xml:space="preserve">; c) </w:t>
      </w:r>
      <w:r w:rsidR="00FB04D0">
        <w:rPr>
          <w:szCs w:val="20"/>
          <w:lang w:val="id-ID"/>
        </w:rPr>
        <w:t>Emiten</w:t>
      </w:r>
      <w:r w:rsidR="00012AE6" w:rsidRPr="00254736">
        <w:rPr>
          <w:szCs w:val="20"/>
        </w:rPr>
        <w:t xml:space="preserve"> </w:t>
      </w:r>
      <w:proofErr w:type="spellStart"/>
      <w:r w:rsidR="00012AE6" w:rsidRPr="00254736">
        <w:rPr>
          <w:szCs w:val="20"/>
        </w:rPr>
        <w:t>selain</w:t>
      </w:r>
      <w:proofErr w:type="spellEnd"/>
      <w:r w:rsidR="00012AE6" w:rsidRPr="00254736">
        <w:rPr>
          <w:szCs w:val="20"/>
        </w:rPr>
        <w:t xml:space="preserve"> </w:t>
      </w:r>
      <w:proofErr w:type="spellStart"/>
      <w:r w:rsidR="00012AE6" w:rsidRPr="00254736">
        <w:rPr>
          <w:szCs w:val="20"/>
        </w:rPr>
        <w:t>sektor</w:t>
      </w:r>
      <w:proofErr w:type="spellEnd"/>
      <w:r w:rsidR="00012AE6" w:rsidRPr="00254736">
        <w:rPr>
          <w:szCs w:val="20"/>
        </w:rPr>
        <w:t xml:space="preserve"> </w:t>
      </w:r>
      <w:proofErr w:type="spellStart"/>
      <w:r w:rsidR="00012AE6" w:rsidRPr="00254736">
        <w:rPr>
          <w:szCs w:val="20"/>
        </w:rPr>
        <w:t>keuangan</w:t>
      </w:r>
      <w:proofErr w:type="spellEnd"/>
      <w:r w:rsidR="00254736">
        <w:rPr>
          <w:szCs w:val="20"/>
          <w:lang w:val="id-ID"/>
        </w:rPr>
        <w:t xml:space="preserve">; d) </w:t>
      </w:r>
      <w:r w:rsidR="00012AE6" w:rsidRPr="00254736">
        <w:rPr>
          <w:szCs w:val="20"/>
        </w:rPr>
        <w:t xml:space="preserve">Perusahaan yang </w:t>
      </w:r>
      <w:proofErr w:type="spellStart"/>
      <w:r w:rsidR="00012AE6" w:rsidRPr="00254736">
        <w:rPr>
          <w:szCs w:val="20"/>
        </w:rPr>
        <w:t>membagi</w:t>
      </w:r>
      <w:proofErr w:type="spellEnd"/>
      <w:r w:rsidR="00012AE6" w:rsidRPr="00254736">
        <w:rPr>
          <w:szCs w:val="20"/>
        </w:rPr>
        <w:t xml:space="preserve"> </w:t>
      </w:r>
      <w:proofErr w:type="spellStart"/>
      <w:r w:rsidR="00012AE6" w:rsidRPr="00254736">
        <w:rPr>
          <w:szCs w:val="20"/>
        </w:rPr>
        <w:t>dividen</w:t>
      </w:r>
      <w:proofErr w:type="spellEnd"/>
      <w:r w:rsidR="00012AE6" w:rsidRPr="00254736">
        <w:rPr>
          <w:szCs w:val="20"/>
        </w:rPr>
        <w:t xml:space="preserve"> </w:t>
      </w:r>
      <w:proofErr w:type="spellStart"/>
      <w:r w:rsidR="00012AE6" w:rsidRPr="00254736">
        <w:rPr>
          <w:szCs w:val="20"/>
        </w:rPr>
        <w:t>secara</w:t>
      </w:r>
      <w:proofErr w:type="spellEnd"/>
      <w:r w:rsidR="00012AE6" w:rsidRPr="00254736">
        <w:rPr>
          <w:szCs w:val="20"/>
        </w:rPr>
        <w:t xml:space="preserve"> </w:t>
      </w:r>
      <w:proofErr w:type="spellStart"/>
      <w:r w:rsidR="00012AE6" w:rsidRPr="00254736">
        <w:rPr>
          <w:szCs w:val="20"/>
        </w:rPr>
        <w:t>teratur</w:t>
      </w:r>
      <w:proofErr w:type="spellEnd"/>
      <w:r w:rsidR="00012AE6" w:rsidRPr="00254736">
        <w:rPr>
          <w:szCs w:val="20"/>
        </w:rPr>
        <w:t xml:space="preserve"> </w:t>
      </w:r>
      <w:proofErr w:type="spellStart"/>
      <w:r w:rsidR="00012AE6" w:rsidRPr="00254736">
        <w:rPr>
          <w:szCs w:val="20"/>
        </w:rPr>
        <w:t>selama</w:t>
      </w:r>
      <w:proofErr w:type="spellEnd"/>
      <w:r w:rsidR="00012AE6" w:rsidRPr="00254736">
        <w:rPr>
          <w:szCs w:val="20"/>
        </w:rPr>
        <w:t xml:space="preserve"> </w:t>
      </w:r>
      <w:proofErr w:type="spellStart"/>
      <w:r w:rsidR="00012AE6" w:rsidRPr="00254736">
        <w:rPr>
          <w:szCs w:val="20"/>
        </w:rPr>
        <w:t>tahun</w:t>
      </w:r>
      <w:proofErr w:type="spellEnd"/>
      <w:r w:rsidR="00012AE6" w:rsidRPr="00254736">
        <w:rPr>
          <w:szCs w:val="20"/>
        </w:rPr>
        <w:t xml:space="preserve"> 2017-2021</w:t>
      </w:r>
      <w:r w:rsidR="00254736">
        <w:rPr>
          <w:szCs w:val="20"/>
          <w:lang w:val="id-ID"/>
        </w:rPr>
        <w:t xml:space="preserve">. </w:t>
      </w:r>
      <w:r w:rsidR="00254736" w:rsidRPr="00254736">
        <w:rPr>
          <w:szCs w:val="20"/>
          <w:lang w:val="id-ID"/>
        </w:rPr>
        <w:t>Perhitungan analisis fundamental dalam penelitian ini menggunakan beberapa rasio</w:t>
      </w:r>
      <w:r w:rsidR="00254736">
        <w:rPr>
          <w:szCs w:val="20"/>
          <w:lang w:val="id-ID"/>
        </w:rPr>
        <w:t xml:space="preserve"> yaitu ROE, DER, DPR, DPS, EPS, PER (Alfaruqi F.I, </w:t>
      </w:r>
      <w:r w:rsidR="00254736" w:rsidRPr="00254736">
        <w:rPr>
          <w:szCs w:val="20"/>
          <w:lang w:val="id-ID"/>
        </w:rPr>
        <w:t>2022)</w:t>
      </w:r>
      <w:r w:rsidR="00254736">
        <w:rPr>
          <w:szCs w:val="20"/>
          <w:lang w:val="id-ID"/>
        </w:rPr>
        <w:t xml:space="preserve">. </w:t>
      </w:r>
    </w:p>
    <w:p w14:paraId="361DAC03" w14:textId="77777777" w:rsidR="00254736" w:rsidRPr="00254736" w:rsidRDefault="00254736" w:rsidP="003A6E7F">
      <w:pPr>
        <w:ind w:firstLine="426"/>
        <w:jc w:val="both"/>
        <w:rPr>
          <w:szCs w:val="20"/>
          <w:lang w:val="id-ID"/>
        </w:rPr>
      </w:pPr>
    </w:p>
    <w:p w14:paraId="452655CD" w14:textId="77777777" w:rsidR="00012AE6" w:rsidRPr="003A6E7F" w:rsidRDefault="00EA7A30" w:rsidP="003A6E7F">
      <w:pPr>
        <w:pStyle w:val="ListParagraph"/>
        <w:numPr>
          <w:ilvl w:val="0"/>
          <w:numId w:val="5"/>
        </w:numPr>
        <w:ind w:left="284" w:hanging="284"/>
        <w:rPr>
          <w:b/>
          <w:lang w:val="id-ID"/>
        </w:rPr>
      </w:pPr>
      <w:r w:rsidRPr="00012AE6">
        <w:rPr>
          <w:b/>
          <w:lang w:val="id-ID"/>
        </w:rPr>
        <w:t>HASIL DAN PEMBAHASAN</w:t>
      </w:r>
    </w:p>
    <w:p w14:paraId="72E20E9E" w14:textId="58E6E113" w:rsidR="003A6E7F" w:rsidRPr="003A6E7F" w:rsidRDefault="003A6E7F" w:rsidP="003A6E7F">
      <w:pPr>
        <w:rPr>
          <w:b/>
        </w:rPr>
      </w:pPr>
      <w:proofErr w:type="spellStart"/>
      <w:r>
        <w:rPr>
          <w:b/>
        </w:rPr>
        <w:t>Hasil</w:t>
      </w:r>
      <w:proofErr w:type="spellEnd"/>
    </w:p>
    <w:p w14:paraId="23EB1449" w14:textId="722A769D" w:rsidR="00007450" w:rsidRDefault="00007450" w:rsidP="003A6E7F">
      <w:pPr>
        <w:pStyle w:val="ListParagraph"/>
        <w:ind w:left="0" w:firstLine="426"/>
        <w:rPr>
          <w:bCs/>
        </w:rPr>
      </w:pPr>
      <w:proofErr w:type="spellStart"/>
      <w:r>
        <w:t>Adapun</w:t>
      </w:r>
      <w:proofErr w:type="spellEnd"/>
      <w:r>
        <w:t xml:space="preserve"> </w:t>
      </w:r>
      <w:proofErr w:type="spellStart"/>
      <w:r>
        <w:t>hasil</w:t>
      </w:r>
      <w:proofErr w:type="spellEnd"/>
      <w:r>
        <w:t xml:space="preserve"> yang </w:t>
      </w:r>
      <w:proofErr w:type="spellStart"/>
      <w:r>
        <w:t>didapatkan</w:t>
      </w:r>
      <w:proofErr w:type="spellEnd"/>
      <w:r>
        <w:t xml:space="preserve"> </w:t>
      </w:r>
      <w:proofErr w:type="spellStart"/>
      <w:r>
        <w:t>dari</w:t>
      </w:r>
      <w:proofErr w:type="spellEnd"/>
      <w:r>
        <w:t xml:space="preserve"> </w:t>
      </w:r>
      <w:proofErr w:type="spellStart"/>
      <w:r>
        <w:t>pelaksanaan</w:t>
      </w:r>
      <w:proofErr w:type="spellEnd"/>
      <w:r>
        <w:t xml:space="preserve"> </w:t>
      </w:r>
      <w:proofErr w:type="spellStart"/>
      <w:r>
        <w:t>penelitian</w:t>
      </w:r>
      <w:proofErr w:type="spellEnd"/>
      <w:r>
        <w:t xml:space="preserve"> </w:t>
      </w:r>
      <w:proofErr w:type="spellStart"/>
      <w:r>
        <w:t>adalah</w:t>
      </w:r>
      <w:proofErr w:type="spellEnd"/>
      <w:r>
        <w:t xml:space="preserve"> </w:t>
      </w:r>
      <w:proofErr w:type="spellStart"/>
      <w:r>
        <w:t>diperoleh</w:t>
      </w:r>
      <w:proofErr w:type="spellEnd"/>
      <w:r>
        <w:t xml:space="preserve"> </w:t>
      </w:r>
      <w:r>
        <w:rPr>
          <w:bCs/>
        </w:rPr>
        <w:t>p</w:t>
      </w:r>
      <w:r w:rsidRPr="00007450">
        <w:rPr>
          <w:bCs/>
          <w:lang w:val="id-ID"/>
        </w:rPr>
        <w:t xml:space="preserve">erhitungan Rasio </w:t>
      </w:r>
      <w:r>
        <w:rPr>
          <w:bCs/>
        </w:rPr>
        <w:t>k</w:t>
      </w:r>
      <w:r>
        <w:rPr>
          <w:bCs/>
          <w:lang w:val="id-ID"/>
        </w:rPr>
        <w:t xml:space="preserve">euangan </w:t>
      </w:r>
      <w:r>
        <w:rPr>
          <w:bCs/>
        </w:rPr>
        <w:t>t</w:t>
      </w:r>
      <w:r w:rsidRPr="00007450">
        <w:rPr>
          <w:bCs/>
          <w:lang w:val="id-ID"/>
        </w:rPr>
        <w:t>ahun 2018-2021</w:t>
      </w:r>
      <w:r w:rsidRPr="00007450">
        <w:rPr>
          <w:bCs/>
        </w:rPr>
        <w:t xml:space="preserve"> </w:t>
      </w:r>
      <w:proofErr w:type="spellStart"/>
      <w:r w:rsidRPr="00007450">
        <w:rPr>
          <w:bCs/>
        </w:rPr>
        <w:t>sebagai</w:t>
      </w:r>
      <w:proofErr w:type="spellEnd"/>
      <w:r w:rsidRPr="00007450">
        <w:rPr>
          <w:bCs/>
        </w:rPr>
        <w:t xml:space="preserve"> </w:t>
      </w:r>
      <w:proofErr w:type="spellStart"/>
      <w:r w:rsidRPr="00007450">
        <w:rPr>
          <w:bCs/>
        </w:rPr>
        <w:t>berikut</w:t>
      </w:r>
      <w:proofErr w:type="spellEnd"/>
      <w:r w:rsidRPr="00007450">
        <w:rPr>
          <w:bCs/>
        </w:rPr>
        <w:t>:</w:t>
      </w:r>
    </w:p>
    <w:p w14:paraId="5BE7D9BE" w14:textId="77777777" w:rsidR="00007450" w:rsidRDefault="00007450" w:rsidP="003A6E7F">
      <w:pPr>
        <w:pStyle w:val="ListParagraph"/>
        <w:ind w:left="0" w:firstLine="426"/>
        <w:rPr>
          <w:bCs/>
        </w:rPr>
      </w:pPr>
    </w:p>
    <w:p w14:paraId="7706D73D" w14:textId="77777777" w:rsidR="00254736" w:rsidRPr="00254736" w:rsidRDefault="00254736" w:rsidP="003A6E7F">
      <w:pPr>
        <w:ind w:firstLine="426"/>
        <w:rPr>
          <w:lang w:val="id-ID"/>
        </w:rPr>
      </w:pPr>
      <w:r w:rsidRPr="00254736">
        <w:rPr>
          <w:lang w:val="id-ID"/>
        </w:rPr>
        <w:t>Tabel 1. Rekapitulasi Rata-rata Perhitungan Rasio Keuangan Tahun 2018-2021</w:t>
      </w:r>
    </w:p>
    <w:tbl>
      <w:tblPr>
        <w:tblW w:w="7800" w:type="dxa"/>
        <w:jc w:val="center"/>
        <w:tblInd w:w="-628" w:type="dxa"/>
        <w:tblLook w:val="04A0" w:firstRow="1" w:lastRow="0" w:firstColumn="1" w:lastColumn="0" w:noHBand="0" w:noVBand="1"/>
      </w:tblPr>
      <w:tblGrid>
        <w:gridCol w:w="600"/>
        <w:gridCol w:w="960"/>
        <w:gridCol w:w="1000"/>
        <w:gridCol w:w="940"/>
        <w:gridCol w:w="860"/>
        <w:gridCol w:w="880"/>
        <w:gridCol w:w="840"/>
        <w:gridCol w:w="860"/>
        <w:gridCol w:w="860"/>
      </w:tblGrid>
      <w:tr w:rsidR="00254736" w:rsidRPr="00254736" w14:paraId="4C6BB85D" w14:textId="77777777" w:rsidTr="00007450">
        <w:trPr>
          <w:trHeight w:val="555"/>
          <w:jc w:val="center"/>
        </w:trPr>
        <w:tc>
          <w:tcPr>
            <w:tcW w:w="600" w:type="dxa"/>
            <w:tcBorders>
              <w:top w:val="single" w:sz="4" w:space="0" w:color="auto"/>
              <w:left w:val="single" w:sz="4" w:space="0" w:color="auto"/>
              <w:bottom w:val="nil"/>
              <w:right w:val="single" w:sz="4" w:space="0" w:color="auto"/>
            </w:tcBorders>
            <w:shd w:val="clear" w:color="auto" w:fill="BFBFBF" w:themeFill="background1" w:themeFillShade="BF"/>
            <w:vAlign w:val="center"/>
            <w:hideMark/>
          </w:tcPr>
          <w:p w14:paraId="5C7C3253" w14:textId="77777777" w:rsidR="00254736" w:rsidRPr="00254736" w:rsidRDefault="00254736" w:rsidP="00007450">
            <w:pPr>
              <w:jc w:val="center"/>
              <w:rPr>
                <w:rFonts w:eastAsia="Times New Roman"/>
                <w:b/>
                <w:bCs/>
                <w:color w:val="000000"/>
                <w:szCs w:val="20"/>
                <w:lang w:val="id-ID" w:eastAsia="id-ID"/>
              </w:rPr>
            </w:pPr>
            <w:r w:rsidRPr="00254736">
              <w:rPr>
                <w:rFonts w:eastAsia="Times New Roman"/>
                <w:b/>
                <w:bCs/>
                <w:color w:val="000000"/>
                <w:szCs w:val="20"/>
                <w:lang w:val="id-ID" w:eastAsia="id-ID"/>
              </w:rPr>
              <w:t>No</w:t>
            </w:r>
          </w:p>
        </w:tc>
        <w:tc>
          <w:tcPr>
            <w:tcW w:w="960" w:type="dxa"/>
            <w:tcBorders>
              <w:top w:val="single" w:sz="4" w:space="0" w:color="auto"/>
              <w:left w:val="nil"/>
              <w:bottom w:val="nil"/>
              <w:right w:val="single" w:sz="4" w:space="0" w:color="auto"/>
            </w:tcBorders>
            <w:shd w:val="clear" w:color="auto" w:fill="BFBFBF" w:themeFill="background1" w:themeFillShade="BF"/>
            <w:vAlign w:val="center"/>
            <w:hideMark/>
          </w:tcPr>
          <w:p w14:paraId="23A37B09" w14:textId="77777777" w:rsidR="00254736" w:rsidRPr="00254736" w:rsidRDefault="00254736" w:rsidP="00007450">
            <w:pPr>
              <w:jc w:val="center"/>
              <w:rPr>
                <w:rFonts w:eastAsia="Times New Roman"/>
                <w:b/>
                <w:bCs/>
                <w:color w:val="000000"/>
                <w:szCs w:val="20"/>
                <w:lang w:val="id-ID" w:eastAsia="id-ID"/>
              </w:rPr>
            </w:pPr>
            <w:r w:rsidRPr="00254736">
              <w:rPr>
                <w:rFonts w:eastAsia="Times New Roman"/>
                <w:b/>
                <w:bCs/>
                <w:color w:val="000000"/>
                <w:szCs w:val="20"/>
                <w:lang w:val="id-ID" w:eastAsia="id-ID"/>
              </w:rPr>
              <w:t>Kode Saham</w:t>
            </w:r>
          </w:p>
        </w:tc>
        <w:tc>
          <w:tcPr>
            <w:tcW w:w="10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1B3DCCA" w14:textId="77777777" w:rsidR="00254736" w:rsidRPr="00254736" w:rsidRDefault="00254736" w:rsidP="00007450">
            <w:pPr>
              <w:jc w:val="center"/>
              <w:rPr>
                <w:rFonts w:eastAsia="Times New Roman"/>
                <w:b/>
                <w:bCs/>
                <w:color w:val="000000"/>
                <w:szCs w:val="20"/>
                <w:lang w:val="id-ID" w:eastAsia="id-ID"/>
              </w:rPr>
            </w:pPr>
            <w:r w:rsidRPr="00254736">
              <w:rPr>
                <w:rFonts w:eastAsia="Times New Roman"/>
                <w:b/>
                <w:bCs/>
                <w:color w:val="000000"/>
                <w:szCs w:val="20"/>
                <w:lang w:val="id-ID" w:eastAsia="id-ID"/>
              </w:rPr>
              <w:t>Rata-rata ROE</w:t>
            </w:r>
          </w:p>
        </w:tc>
        <w:tc>
          <w:tcPr>
            <w:tcW w:w="94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C2A0706" w14:textId="77777777" w:rsidR="00254736" w:rsidRPr="00254736" w:rsidRDefault="00254736" w:rsidP="00007450">
            <w:pPr>
              <w:jc w:val="center"/>
              <w:rPr>
                <w:rFonts w:eastAsia="Times New Roman"/>
                <w:b/>
                <w:bCs/>
                <w:color w:val="000000"/>
                <w:szCs w:val="20"/>
                <w:lang w:val="id-ID" w:eastAsia="id-ID"/>
              </w:rPr>
            </w:pPr>
            <w:r w:rsidRPr="00254736">
              <w:rPr>
                <w:rFonts w:eastAsia="Times New Roman"/>
                <w:b/>
                <w:bCs/>
                <w:color w:val="000000"/>
                <w:szCs w:val="20"/>
                <w:lang w:val="id-ID" w:eastAsia="id-ID"/>
              </w:rPr>
              <w:t>Rata-rata DER</w:t>
            </w:r>
          </w:p>
        </w:tc>
        <w:tc>
          <w:tcPr>
            <w:tcW w:w="8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35C629E" w14:textId="77777777" w:rsidR="00254736" w:rsidRPr="00254736" w:rsidRDefault="00254736" w:rsidP="00007450">
            <w:pPr>
              <w:jc w:val="center"/>
              <w:rPr>
                <w:rFonts w:eastAsia="Times New Roman"/>
                <w:b/>
                <w:bCs/>
                <w:color w:val="000000"/>
                <w:szCs w:val="20"/>
                <w:lang w:val="id-ID" w:eastAsia="id-ID"/>
              </w:rPr>
            </w:pPr>
            <w:r w:rsidRPr="00254736">
              <w:rPr>
                <w:rFonts w:eastAsia="Times New Roman"/>
                <w:b/>
                <w:bCs/>
                <w:color w:val="000000"/>
                <w:szCs w:val="20"/>
                <w:lang w:val="id-ID" w:eastAsia="id-ID"/>
              </w:rPr>
              <w:t>Rata-rata DPR</w:t>
            </w:r>
          </w:p>
        </w:tc>
        <w:tc>
          <w:tcPr>
            <w:tcW w:w="8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A4047C0" w14:textId="77777777" w:rsidR="00254736" w:rsidRPr="00254736" w:rsidRDefault="00254736" w:rsidP="00007450">
            <w:pPr>
              <w:jc w:val="center"/>
              <w:rPr>
                <w:rFonts w:eastAsia="Times New Roman"/>
                <w:b/>
                <w:bCs/>
                <w:color w:val="000000"/>
                <w:szCs w:val="20"/>
                <w:lang w:val="id-ID" w:eastAsia="id-ID"/>
              </w:rPr>
            </w:pPr>
            <w:r w:rsidRPr="00254736">
              <w:rPr>
                <w:rFonts w:eastAsia="Times New Roman"/>
                <w:b/>
                <w:bCs/>
                <w:color w:val="000000"/>
                <w:szCs w:val="20"/>
                <w:lang w:val="id-ID" w:eastAsia="id-ID"/>
              </w:rPr>
              <w:t>Rata-rata DPS</w:t>
            </w:r>
          </w:p>
        </w:tc>
        <w:tc>
          <w:tcPr>
            <w:tcW w:w="84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F0D706F" w14:textId="77777777" w:rsidR="00254736" w:rsidRPr="00254736" w:rsidRDefault="00254736" w:rsidP="00007450">
            <w:pPr>
              <w:jc w:val="center"/>
              <w:rPr>
                <w:rFonts w:eastAsia="Times New Roman"/>
                <w:b/>
                <w:bCs/>
                <w:color w:val="000000"/>
                <w:szCs w:val="20"/>
                <w:lang w:val="id-ID" w:eastAsia="id-ID"/>
              </w:rPr>
            </w:pPr>
            <w:r w:rsidRPr="00254736">
              <w:rPr>
                <w:rFonts w:eastAsia="Times New Roman"/>
                <w:b/>
                <w:bCs/>
                <w:color w:val="000000"/>
                <w:szCs w:val="20"/>
                <w:lang w:val="id-ID" w:eastAsia="id-ID"/>
              </w:rPr>
              <w:t>Rata-rata EPS</w:t>
            </w:r>
          </w:p>
        </w:tc>
        <w:tc>
          <w:tcPr>
            <w:tcW w:w="8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19F2A70" w14:textId="77777777" w:rsidR="00254736" w:rsidRPr="00254736" w:rsidRDefault="00254736" w:rsidP="00007450">
            <w:pPr>
              <w:jc w:val="center"/>
              <w:rPr>
                <w:rFonts w:eastAsia="Times New Roman"/>
                <w:b/>
                <w:bCs/>
                <w:color w:val="000000"/>
                <w:szCs w:val="20"/>
                <w:lang w:val="id-ID" w:eastAsia="id-ID"/>
              </w:rPr>
            </w:pPr>
            <w:r w:rsidRPr="00254736">
              <w:rPr>
                <w:rFonts w:eastAsia="Times New Roman"/>
                <w:b/>
                <w:bCs/>
                <w:color w:val="000000"/>
                <w:szCs w:val="20"/>
                <w:lang w:val="id-ID" w:eastAsia="id-ID"/>
              </w:rPr>
              <w:t>Rata-rata PER</w:t>
            </w:r>
          </w:p>
        </w:tc>
        <w:tc>
          <w:tcPr>
            <w:tcW w:w="8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22BFBE7" w14:textId="77777777" w:rsidR="00254736" w:rsidRPr="00254736" w:rsidRDefault="00254736" w:rsidP="00007450">
            <w:pPr>
              <w:jc w:val="center"/>
              <w:rPr>
                <w:rFonts w:eastAsia="Times New Roman"/>
                <w:b/>
                <w:bCs/>
                <w:color w:val="000000"/>
                <w:szCs w:val="20"/>
                <w:lang w:val="id-ID" w:eastAsia="id-ID"/>
              </w:rPr>
            </w:pPr>
            <w:r w:rsidRPr="00254736">
              <w:rPr>
                <w:rFonts w:eastAsia="Times New Roman"/>
                <w:b/>
                <w:bCs/>
                <w:color w:val="000000"/>
                <w:szCs w:val="20"/>
                <w:lang w:val="id-ID" w:eastAsia="id-ID"/>
              </w:rPr>
              <w:t>Rata-rata PBV</w:t>
            </w:r>
          </w:p>
        </w:tc>
      </w:tr>
      <w:tr w:rsidR="00254736" w:rsidRPr="00254736" w14:paraId="11678ADA" w14:textId="77777777" w:rsidTr="00007450">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14:paraId="5B8CB3C1"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1</w:t>
            </w:r>
          </w:p>
        </w:tc>
        <w:tc>
          <w:tcPr>
            <w:tcW w:w="960" w:type="dxa"/>
            <w:tcBorders>
              <w:top w:val="single" w:sz="4" w:space="0" w:color="auto"/>
              <w:left w:val="nil"/>
              <w:bottom w:val="single" w:sz="4" w:space="0" w:color="auto"/>
              <w:right w:val="nil"/>
            </w:tcBorders>
            <w:shd w:val="clear" w:color="auto" w:fill="auto"/>
            <w:noWrap/>
            <w:hideMark/>
          </w:tcPr>
          <w:p w14:paraId="3FD8E980" w14:textId="77777777" w:rsidR="00254736" w:rsidRPr="00254736" w:rsidRDefault="00254736" w:rsidP="00F337F6">
            <w:pPr>
              <w:jc w:val="center"/>
              <w:rPr>
                <w:rFonts w:eastAsia="Times New Roman"/>
                <w:szCs w:val="20"/>
                <w:lang w:val="id-ID" w:eastAsia="id-ID"/>
              </w:rPr>
            </w:pPr>
            <w:r w:rsidRPr="00254736">
              <w:rPr>
                <w:rFonts w:eastAsia="Times New Roman"/>
                <w:szCs w:val="20"/>
                <w:lang w:val="id-ID" w:eastAsia="id-ID"/>
              </w:rPr>
              <w:t>ASII</w:t>
            </w:r>
          </w:p>
        </w:tc>
        <w:tc>
          <w:tcPr>
            <w:tcW w:w="1000" w:type="dxa"/>
            <w:tcBorders>
              <w:top w:val="nil"/>
              <w:left w:val="single" w:sz="4" w:space="0" w:color="auto"/>
              <w:bottom w:val="single" w:sz="4" w:space="0" w:color="auto"/>
              <w:right w:val="single" w:sz="4" w:space="0" w:color="auto"/>
            </w:tcBorders>
            <w:shd w:val="clear" w:color="auto" w:fill="auto"/>
            <w:noWrap/>
            <w:hideMark/>
          </w:tcPr>
          <w:p w14:paraId="7F82AD09"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13%</w:t>
            </w:r>
          </w:p>
        </w:tc>
        <w:tc>
          <w:tcPr>
            <w:tcW w:w="940" w:type="dxa"/>
            <w:tcBorders>
              <w:top w:val="nil"/>
              <w:left w:val="nil"/>
              <w:bottom w:val="single" w:sz="4" w:space="0" w:color="auto"/>
              <w:right w:val="single" w:sz="4" w:space="0" w:color="auto"/>
            </w:tcBorders>
            <w:shd w:val="clear" w:color="auto" w:fill="auto"/>
            <w:noWrap/>
            <w:hideMark/>
          </w:tcPr>
          <w:p w14:paraId="533534CB"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45%</w:t>
            </w:r>
          </w:p>
        </w:tc>
        <w:tc>
          <w:tcPr>
            <w:tcW w:w="860" w:type="dxa"/>
            <w:tcBorders>
              <w:top w:val="nil"/>
              <w:left w:val="nil"/>
              <w:bottom w:val="single" w:sz="4" w:space="0" w:color="auto"/>
              <w:right w:val="single" w:sz="4" w:space="0" w:color="auto"/>
            </w:tcBorders>
            <w:shd w:val="clear" w:color="auto" w:fill="auto"/>
            <w:noWrap/>
            <w:hideMark/>
          </w:tcPr>
          <w:p w14:paraId="3B37399F"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39%</w:t>
            </w:r>
          </w:p>
        </w:tc>
        <w:tc>
          <w:tcPr>
            <w:tcW w:w="880" w:type="dxa"/>
            <w:tcBorders>
              <w:top w:val="nil"/>
              <w:left w:val="nil"/>
              <w:bottom w:val="single" w:sz="4" w:space="0" w:color="auto"/>
              <w:right w:val="single" w:sz="4" w:space="0" w:color="auto"/>
            </w:tcBorders>
            <w:shd w:val="clear" w:color="auto" w:fill="auto"/>
            <w:noWrap/>
            <w:hideMark/>
          </w:tcPr>
          <w:p w14:paraId="50AA557D"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195</w:t>
            </w:r>
          </w:p>
        </w:tc>
        <w:tc>
          <w:tcPr>
            <w:tcW w:w="840" w:type="dxa"/>
            <w:tcBorders>
              <w:top w:val="nil"/>
              <w:left w:val="nil"/>
              <w:bottom w:val="single" w:sz="4" w:space="0" w:color="auto"/>
              <w:right w:val="single" w:sz="4" w:space="0" w:color="auto"/>
            </w:tcBorders>
            <w:shd w:val="clear" w:color="auto" w:fill="auto"/>
            <w:noWrap/>
            <w:hideMark/>
          </w:tcPr>
          <w:p w14:paraId="319E7640"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492</w:t>
            </w:r>
          </w:p>
        </w:tc>
        <w:tc>
          <w:tcPr>
            <w:tcW w:w="860" w:type="dxa"/>
            <w:tcBorders>
              <w:top w:val="nil"/>
              <w:left w:val="nil"/>
              <w:bottom w:val="single" w:sz="4" w:space="0" w:color="auto"/>
              <w:right w:val="single" w:sz="4" w:space="0" w:color="auto"/>
            </w:tcBorders>
            <w:shd w:val="clear" w:color="auto" w:fill="auto"/>
            <w:noWrap/>
            <w:hideMark/>
          </w:tcPr>
          <w:p w14:paraId="272B46EC"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14</w:t>
            </w:r>
          </w:p>
        </w:tc>
        <w:tc>
          <w:tcPr>
            <w:tcW w:w="860" w:type="dxa"/>
            <w:tcBorders>
              <w:top w:val="nil"/>
              <w:left w:val="nil"/>
              <w:bottom w:val="single" w:sz="4" w:space="0" w:color="auto"/>
              <w:right w:val="single" w:sz="4" w:space="0" w:color="auto"/>
            </w:tcBorders>
            <w:shd w:val="clear" w:color="auto" w:fill="auto"/>
            <w:noWrap/>
            <w:hideMark/>
          </w:tcPr>
          <w:p w14:paraId="424CA520"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1,4</w:t>
            </w:r>
          </w:p>
        </w:tc>
      </w:tr>
      <w:tr w:rsidR="00254736" w:rsidRPr="00254736" w14:paraId="7F8412B1" w14:textId="77777777" w:rsidTr="0000745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hideMark/>
          </w:tcPr>
          <w:p w14:paraId="4C4698F3"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2</w:t>
            </w:r>
          </w:p>
        </w:tc>
        <w:tc>
          <w:tcPr>
            <w:tcW w:w="960" w:type="dxa"/>
            <w:tcBorders>
              <w:top w:val="nil"/>
              <w:left w:val="nil"/>
              <w:bottom w:val="single" w:sz="4" w:space="0" w:color="auto"/>
              <w:right w:val="nil"/>
            </w:tcBorders>
            <w:shd w:val="clear" w:color="auto" w:fill="auto"/>
            <w:noWrap/>
            <w:hideMark/>
          </w:tcPr>
          <w:p w14:paraId="4B666E41" w14:textId="77777777" w:rsidR="00254736" w:rsidRPr="00254736" w:rsidRDefault="00254736" w:rsidP="00F337F6">
            <w:pPr>
              <w:jc w:val="center"/>
              <w:rPr>
                <w:rFonts w:eastAsia="Times New Roman"/>
                <w:szCs w:val="20"/>
                <w:lang w:val="id-ID" w:eastAsia="id-ID"/>
              </w:rPr>
            </w:pPr>
            <w:r w:rsidRPr="00254736">
              <w:rPr>
                <w:rFonts w:eastAsia="Times New Roman"/>
                <w:szCs w:val="20"/>
                <w:lang w:val="id-ID" w:eastAsia="id-ID"/>
              </w:rPr>
              <w:t>HMSP</w:t>
            </w:r>
          </w:p>
        </w:tc>
        <w:tc>
          <w:tcPr>
            <w:tcW w:w="1000" w:type="dxa"/>
            <w:tcBorders>
              <w:top w:val="nil"/>
              <w:left w:val="single" w:sz="4" w:space="0" w:color="auto"/>
              <w:bottom w:val="single" w:sz="4" w:space="0" w:color="auto"/>
              <w:right w:val="single" w:sz="4" w:space="0" w:color="auto"/>
            </w:tcBorders>
            <w:shd w:val="clear" w:color="auto" w:fill="auto"/>
            <w:noWrap/>
            <w:hideMark/>
          </w:tcPr>
          <w:p w14:paraId="33A0947F"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32%</w:t>
            </w:r>
          </w:p>
        </w:tc>
        <w:tc>
          <w:tcPr>
            <w:tcW w:w="940" w:type="dxa"/>
            <w:tcBorders>
              <w:top w:val="nil"/>
              <w:left w:val="nil"/>
              <w:bottom w:val="single" w:sz="4" w:space="0" w:color="auto"/>
              <w:right w:val="single" w:sz="4" w:space="0" w:color="auto"/>
            </w:tcBorders>
            <w:shd w:val="clear" w:color="auto" w:fill="auto"/>
            <w:noWrap/>
            <w:hideMark/>
          </w:tcPr>
          <w:p w14:paraId="326DA0A8"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35%</w:t>
            </w:r>
          </w:p>
        </w:tc>
        <w:tc>
          <w:tcPr>
            <w:tcW w:w="860" w:type="dxa"/>
            <w:tcBorders>
              <w:top w:val="nil"/>
              <w:left w:val="nil"/>
              <w:bottom w:val="single" w:sz="4" w:space="0" w:color="auto"/>
              <w:right w:val="single" w:sz="4" w:space="0" w:color="auto"/>
            </w:tcBorders>
            <w:shd w:val="clear" w:color="auto" w:fill="auto"/>
            <w:noWrap/>
            <w:hideMark/>
          </w:tcPr>
          <w:p w14:paraId="32B922AD"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99%</w:t>
            </w:r>
          </w:p>
        </w:tc>
        <w:tc>
          <w:tcPr>
            <w:tcW w:w="880" w:type="dxa"/>
            <w:tcBorders>
              <w:top w:val="nil"/>
              <w:left w:val="nil"/>
              <w:bottom w:val="single" w:sz="4" w:space="0" w:color="auto"/>
              <w:right w:val="single" w:sz="4" w:space="0" w:color="auto"/>
            </w:tcBorders>
            <w:shd w:val="clear" w:color="auto" w:fill="auto"/>
            <w:noWrap/>
            <w:hideMark/>
          </w:tcPr>
          <w:p w14:paraId="037411EE"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91</w:t>
            </w:r>
          </w:p>
        </w:tc>
        <w:tc>
          <w:tcPr>
            <w:tcW w:w="840" w:type="dxa"/>
            <w:tcBorders>
              <w:top w:val="nil"/>
              <w:left w:val="nil"/>
              <w:bottom w:val="single" w:sz="4" w:space="0" w:color="auto"/>
              <w:right w:val="single" w:sz="4" w:space="0" w:color="auto"/>
            </w:tcBorders>
            <w:shd w:val="clear" w:color="auto" w:fill="auto"/>
            <w:noWrap/>
            <w:hideMark/>
          </w:tcPr>
          <w:p w14:paraId="16E08B17"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92</w:t>
            </w:r>
          </w:p>
        </w:tc>
        <w:tc>
          <w:tcPr>
            <w:tcW w:w="860" w:type="dxa"/>
            <w:tcBorders>
              <w:top w:val="nil"/>
              <w:left w:val="nil"/>
              <w:bottom w:val="single" w:sz="4" w:space="0" w:color="auto"/>
              <w:right w:val="single" w:sz="4" w:space="0" w:color="auto"/>
            </w:tcBorders>
            <w:shd w:val="clear" w:color="auto" w:fill="auto"/>
            <w:noWrap/>
            <w:hideMark/>
          </w:tcPr>
          <w:p w14:paraId="3F44AA9A"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21</w:t>
            </w:r>
          </w:p>
        </w:tc>
        <w:tc>
          <w:tcPr>
            <w:tcW w:w="860" w:type="dxa"/>
            <w:tcBorders>
              <w:top w:val="nil"/>
              <w:left w:val="nil"/>
              <w:bottom w:val="single" w:sz="4" w:space="0" w:color="auto"/>
              <w:right w:val="single" w:sz="4" w:space="0" w:color="auto"/>
            </w:tcBorders>
            <w:shd w:val="clear" w:color="auto" w:fill="auto"/>
            <w:noWrap/>
            <w:hideMark/>
          </w:tcPr>
          <w:p w14:paraId="4851A718"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7,2</w:t>
            </w:r>
          </w:p>
        </w:tc>
      </w:tr>
      <w:tr w:rsidR="00254736" w:rsidRPr="00254736" w14:paraId="3C11A366" w14:textId="77777777" w:rsidTr="0000745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hideMark/>
          </w:tcPr>
          <w:p w14:paraId="08CDFB61"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3</w:t>
            </w:r>
          </w:p>
        </w:tc>
        <w:tc>
          <w:tcPr>
            <w:tcW w:w="960" w:type="dxa"/>
            <w:tcBorders>
              <w:top w:val="nil"/>
              <w:left w:val="nil"/>
              <w:bottom w:val="single" w:sz="4" w:space="0" w:color="auto"/>
              <w:right w:val="nil"/>
            </w:tcBorders>
            <w:shd w:val="clear" w:color="auto" w:fill="auto"/>
            <w:noWrap/>
            <w:hideMark/>
          </w:tcPr>
          <w:p w14:paraId="61315B14" w14:textId="77777777" w:rsidR="00254736" w:rsidRPr="00254736" w:rsidRDefault="00254736" w:rsidP="00F337F6">
            <w:pPr>
              <w:jc w:val="center"/>
              <w:rPr>
                <w:rFonts w:eastAsia="Times New Roman"/>
                <w:szCs w:val="20"/>
                <w:lang w:val="id-ID" w:eastAsia="id-ID"/>
              </w:rPr>
            </w:pPr>
            <w:r w:rsidRPr="00254736">
              <w:rPr>
                <w:rFonts w:eastAsia="Times New Roman"/>
                <w:szCs w:val="20"/>
                <w:lang w:val="id-ID" w:eastAsia="id-ID"/>
              </w:rPr>
              <w:t>INDF</w:t>
            </w:r>
          </w:p>
        </w:tc>
        <w:tc>
          <w:tcPr>
            <w:tcW w:w="1000" w:type="dxa"/>
            <w:tcBorders>
              <w:top w:val="nil"/>
              <w:left w:val="single" w:sz="4" w:space="0" w:color="auto"/>
              <w:bottom w:val="single" w:sz="4" w:space="0" w:color="auto"/>
              <w:right w:val="single" w:sz="4" w:space="0" w:color="auto"/>
            </w:tcBorders>
            <w:shd w:val="clear" w:color="auto" w:fill="auto"/>
            <w:noWrap/>
            <w:hideMark/>
          </w:tcPr>
          <w:p w14:paraId="3D7FF9DD"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11%</w:t>
            </w:r>
          </w:p>
        </w:tc>
        <w:tc>
          <w:tcPr>
            <w:tcW w:w="940" w:type="dxa"/>
            <w:tcBorders>
              <w:top w:val="nil"/>
              <w:left w:val="nil"/>
              <w:bottom w:val="single" w:sz="4" w:space="0" w:color="auto"/>
              <w:right w:val="single" w:sz="4" w:space="0" w:color="auto"/>
            </w:tcBorders>
            <w:shd w:val="clear" w:color="auto" w:fill="auto"/>
            <w:noWrap/>
            <w:hideMark/>
          </w:tcPr>
          <w:p w14:paraId="71A166D4"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49%</w:t>
            </w:r>
          </w:p>
        </w:tc>
        <w:tc>
          <w:tcPr>
            <w:tcW w:w="860" w:type="dxa"/>
            <w:tcBorders>
              <w:top w:val="nil"/>
              <w:left w:val="nil"/>
              <w:bottom w:val="single" w:sz="4" w:space="0" w:color="auto"/>
              <w:right w:val="single" w:sz="4" w:space="0" w:color="auto"/>
            </w:tcBorders>
            <w:shd w:val="clear" w:color="auto" w:fill="auto"/>
            <w:noWrap/>
            <w:hideMark/>
          </w:tcPr>
          <w:p w14:paraId="57F2C129"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42%</w:t>
            </w:r>
          </w:p>
        </w:tc>
        <w:tc>
          <w:tcPr>
            <w:tcW w:w="880" w:type="dxa"/>
            <w:tcBorders>
              <w:top w:val="nil"/>
              <w:left w:val="nil"/>
              <w:bottom w:val="single" w:sz="4" w:space="0" w:color="auto"/>
              <w:right w:val="single" w:sz="4" w:space="0" w:color="auto"/>
            </w:tcBorders>
            <w:shd w:val="clear" w:color="auto" w:fill="auto"/>
            <w:noWrap/>
            <w:hideMark/>
          </w:tcPr>
          <w:p w14:paraId="16E91C30"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268</w:t>
            </w:r>
          </w:p>
        </w:tc>
        <w:tc>
          <w:tcPr>
            <w:tcW w:w="840" w:type="dxa"/>
            <w:tcBorders>
              <w:top w:val="nil"/>
              <w:left w:val="nil"/>
              <w:bottom w:val="single" w:sz="4" w:space="0" w:color="auto"/>
              <w:right w:val="single" w:sz="4" w:space="0" w:color="auto"/>
            </w:tcBorders>
            <w:shd w:val="clear" w:color="auto" w:fill="auto"/>
            <w:noWrap/>
            <w:hideMark/>
          </w:tcPr>
          <w:p w14:paraId="07EB0C32"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660</w:t>
            </w:r>
          </w:p>
        </w:tc>
        <w:tc>
          <w:tcPr>
            <w:tcW w:w="860" w:type="dxa"/>
            <w:tcBorders>
              <w:top w:val="nil"/>
              <w:left w:val="nil"/>
              <w:bottom w:val="single" w:sz="4" w:space="0" w:color="auto"/>
              <w:right w:val="single" w:sz="4" w:space="0" w:color="auto"/>
            </w:tcBorders>
            <w:shd w:val="clear" w:color="auto" w:fill="auto"/>
            <w:noWrap/>
            <w:hideMark/>
          </w:tcPr>
          <w:p w14:paraId="5F3F9AD3"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12</w:t>
            </w:r>
          </w:p>
        </w:tc>
        <w:tc>
          <w:tcPr>
            <w:tcW w:w="860" w:type="dxa"/>
            <w:tcBorders>
              <w:top w:val="nil"/>
              <w:left w:val="nil"/>
              <w:bottom w:val="single" w:sz="4" w:space="0" w:color="auto"/>
              <w:right w:val="single" w:sz="4" w:space="0" w:color="auto"/>
            </w:tcBorders>
            <w:shd w:val="clear" w:color="auto" w:fill="auto"/>
            <w:noWrap/>
            <w:hideMark/>
          </w:tcPr>
          <w:p w14:paraId="2623877E"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1,0</w:t>
            </w:r>
          </w:p>
        </w:tc>
      </w:tr>
      <w:tr w:rsidR="00254736" w:rsidRPr="00254736" w14:paraId="08034E5F" w14:textId="77777777" w:rsidTr="0000745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hideMark/>
          </w:tcPr>
          <w:p w14:paraId="0BB6437E"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4</w:t>
            </w:r>
          </w:p>
        </w:tc>
        <w:tc>
          <w:tcPr>
            <w:tcW w:w="960" w:type="dxa"/>
            <w:tcBorders>
              <w:top w:val="nil"/>
              <w:left w:val="nil"/>
              <w:bottom w:val="single" w:sz="4" w:space="0" w:color="auto"/>
              <w:right w:val="nil"/>
            </w:tcBorders>
            <w:shd w:val="clear" w:color="auto" w:fill="auto"/>
            <w:noWrap/>
            <w:hideMark/>
          </w:tcPr>
          <w:p w14:paraId="6A47FE88" w14:textId="77777777" w:rsidR="00254736" w:rsidRPr="00254736" w:rsidRDefault="00254736" w:rsidP="00F337F6">
            <w:pPr>
              <w:jc w:val="center"/>
              <w:rPr>
                <w:rFonts w:eastAsia="Times New Roman"/>
                <w:szCs w:val="20"/>
                <w:lang w:val="id-ID" w:eastAsia="id-ID"/>
              </w:rPr>
            </w:pPr>
            <w:r w:rsidRPr="00254736">
              <w:rPr>
                <w:rFonts w:eastAsia="Times New Roman"/>
                <w:szCs w:val="20"/>
                <w:lang w:val="id-ID" w:eastAsia="id-ID"/>
              </w:rPr>
              <w:t>INTP</w:t>
            </w:r>
          </w:p>
        </w:tc>
        <w:tc>
          <w:tcPr>
            <w:tcW w:w="1000" w:type="dxa"/>
            <w:tcBorders>
              <w:top w:val="nil"/>
              <w:left w:val="single" w:sz="4" w:space="0" w:color="auto"/>
              <w:bottom w:val="single" w:sz="4" w:space="0" w:color="auto"/>
              <w:right w:val="single" w:sz="4" w:space="0" w:color="auto"/>
            </w:tcBorders>
            <w:shd w:val="clear" w:color="auto" w:fill="auto"/>
            <w:noWrap/>
            <w:hideMark/>
          </w:tcPr>
          <w:p w14:paraId="66FC855D"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7%</w:t>
            </w:r>
          </w:p>
        </w:tc>
        <w:tc>
          <w:tcPr>
            <w:tcW w:w="940" w:type="dxa"/>
            <w:tcBorders>
              <w:top w:val="nil"/>
              <w:left w:val="nil"/>
              <w:bottom w:val="single" w:sz="4" w:space="0" w:color="auto"/>
              <w:right w:val="single" w:sz="4" w:space="0" w:color="auto"/>
            </w:tcBorders>
            <w:shd w:val="clear" w:color="auto" w:fill="auto"/>
            <w:noWrap/>
            <w:hideMark/>
          </w:tcPr>
          <w:p w14:paraId="00953873"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18%</w:t>
            </w:r>
          </w:p>
        </w:tc>
        <w:tc>
          <w:tcPr>
            <w:tcW w:w="860" w:type="dxa"/>
            <w:tcBorders>
              <w:top w:val="nil"/>
              <w:left w:val="nil"/>
              <w:bottom w:val="single" w:sz="4" w:space="0" w:color="auto"/>
              <w:right w:val="single" w:sz="4" w:space="0" w:color="auto"/>
            </w:tcBorders>
            <w:shd w:val="clear" w:color="auto" w:fill="auto"/>
            <w:noWrap/>
            <w:hideMark/>
          </w:tcPr>
          <w:p w14:paraId="77A34A52"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144%</w:t>
            </w:r>
          </w:p>
        </w:tc>
        <w:tc>
          <w:tcPr>
            <w:tcW w:w="880" w:type="dxa"/>
            <w:tcBorders>
              <w:top w:val="nil"/>
              <w:left w:val="nil"/>
              <w:bottom w:val="single" w:sz="4" w:space="0" w:color="auto"/>
              <w:right w:val="single" w:sz="4" w:space="0" w:color="auto"/>
            </w:tcBorders>
            <w:shd w:val="clear" w:color="auto" w:fill="auto"/>
            <w:noWrap/>
            <w:hideMark/>
          </w:tcPr>
          <w:p w14:paraId="4E6734FC"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606</w:t>
            </w:r>
          </w:p>
        </w:tc>
        <w:tc>
          <w:tcPr>
            <w:tcW w:w="840" w:type="dxa"/>
            <w:tcBorders>
              <w:top w:val="nil"/>
              <w:left w:val="nil"/>
              <w:bottom w:val="single" w:sz="4" w:space="0" w:color="auto"/>
              <w:right w:val="single" w:sz="4" w:space="0" w:color="auto"/>
            </w:tcBorders>
            <w:shd w:val="clear" w:color="auto" w:fill="auto"/>
            <w:noWrap/>
            <w:hideMark/>
          </w:tcPr>
          <w:p w14:paraId="68687CE3"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447</w:t>
            </w:r>
          </w:p>
        </w:tc>
        <w:tc>
          <w:tcPr>
            <w:tcW w:w="860" w:type="dxa"/>
            <w:tcBorders>
              <w:top w:val="nil"/>
              <w:left w:val="nil"/>
              <w:bottom w:val="single" w:sz="4" w:space="0" w:color="auto"/>
              <w:right w:val="single" w:sz="4" w:space="0" w:color="auto"/>
            </w:tcBorders>
            <w:shd w:val="clear" w:color="auto" w:fill="auto"/>
            <w:noWrap/>
            <w:hideMark/>
          </w:tcPr>
          <w:p w14:paraId="0B8C0C66"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38</w:t>
            </w:r>
          </w:p>
        </w:tc>
        <w:tc>
          <w:tcPr>
            <w:tcW w:w="860" w:type="dxa"/>
            <w:tcBorders>
              <w:top w:val="nil"/>
              <w:left w:val="nil"/>
              <w:bottom w:val="single" w:sz="4" w:space="0" w:color="auto"/>
              <w:right w:val="single" w:sz="4" w:space="0" w:color="auto"/>
            </w:tcBorders>
            <w:shd w:val="clear" w:color="auto" w:fill="auto"/>
            <w:noWrap/>
            <w:hideMark/>
          </w:tcPr>
          <w:p w14:paraId="16C4692B"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2,6</w:t>
            </w:r>
          </w:p>
        </w:tc>
      </w:tr>
      <w:tr w:rsidR="00254736" w:rsidRPr="00254736" w14:paraId="777BAADB" w14:textId="77777777" w:rsidTr="0000745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hideMark/>
          </w:tcPr>
          <w:p w14:paraId="01E24B63"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5</w:t>
            </w:r>
          </w:p>
        </w:tc>
        <w:tc>
          <w:tcPr>
            <w:tcW w:w="960" w:type="dxa"/>
            <w:tcBorders>
              <w:top w:val="nil"/>
              <w:left w:val="nil"/>
              <w:bottom w:val="single" w:sz="4" w:space="0" w:color="auto"/>
              <w:right w:val="nil"/>
            </w:tcBorders>
            <w:shd w:val="clear" w:color="auto" w:fill="auto"/>
            <w:hideMark/>
          </w:tcPr>
          <w:p w14:paraId="6172C345" w14:textId="77777777" w:rsidR="00254736" w:rsidRPr="00254736" w:rsidRDefault="00254736" w:rsidP="00F337F6">
            <w:pPr>
              <w:jc w:val="center"/>
              <w:rPr>
                <w:rFonts w:eastAsia="Times New Roman"/>
                <w:szCs w:val="20"/>
                <w:lang w:val="id-ID" w:eastAsia="id-ID"/>
              </w:rPr>
            </w:pPr>
            <w:r w:rsidRPr="00254736">
              <w:rPr>
                <w:rFonts w:eastAsia="Times New Roman"/>
                <w:szCs w:val="20"/>
                <w:lang w:val="id-ID" w:eastAsia="id-ID"/>
              </w:rPr>
              <w:t>TLKM</w:t>
            </w:r>
          </w:p>
        </w:tc>
        <w:tc>
          <w:tcPr>
            <w:tcW w:w="1000" w:type="dxa"/>
            <w:tcBorders>
              <w:top w:val="nil"/>
              <w:left w:val="single" w:sz="4" w:space="0" w:color="auto"/>
              <w:bottom w:val="single" w:sz="4" w:space="0" w:color="auto"/>
              <w:right w:val="single" w:sz="4" w:space="0" w:color="auto"/>
            </w:tcBorders>
            <w:shd w:val="clear" w:color="auto" w:fill="auto"/>
            <w:noWrap/>
            <w:hideMark/>
          </w:tcPr>
          <w:p w14:paraId="0ABA11A7"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24%</w:t>
            </w:r>
          </w:p>
        </w:tc>
        <w:tc>
          <w:tcPr>
            <w:tcW w:w="940" w:type="dxa"/>
            <w:tcBorders>
              <w:top w:val="nil"/>
              <w:left w:val="nil"/>
              <w:bottom w:val="single" w:sz="4" w:space="0" w:color="auto"/>
              <w:right w:val="single" w:sz="4" w:space="0" w:color="auto"/>
            </w:tcBorders>
            <w:shd w:val="clear" w:color="auto" w:fill="auto"/>
            <w:noWrap/>
            <w:hideMark/>
          </w:tcPr>
          <w:p w14:paraId="1F43E725"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47%</w:t>
            </w:r>
          </w:p>
        </w:tc>
        <w:tc>
          <w:tcPr>
            <w:tcW w:w="860" w:type="dxa"/>
            <w:tcBorders>
              <w:top w:val="nil"/>
              <w:left w:val="nil"/>
              <w:bottom w:val="single" w:sz="4" w:space="0" w:color="auto"/>
              <w:right w:val="single" w:sz="4" w:space="0" w:color="auto"/>
            </w:tcBorders>
            <w:shd w:val="clear" w:color="auto" w:fill="auto"/>
            <w:noWrap/>
            <w:hideMark/>
          </w:tcPr>
          <w:p w14:paraId="0B07481E"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79%</w:t>
            </w:r>
          </w:p>
        </w:tc>
        <w:tc>
          <w:tcPr>
            <w:tcW w:w="880" w:type="dxa"/>
            <w:tcBorders>
              <w:top w:val="nil"/>
              <w:left w:val="nil"/>
              <w:bottom w:val="single" w:sz="4" w:space="0" w:color="auto"/>
              <w:right w:val="single" w:sz="4" w:space="0" w:color="auto"/>
            </w:tcBorders>
            <w:shd w:val="clear" w:color="auto" w:fill="auto"/>
            <w:noWrap/>
            <w:hideMark/>
          </w:tcPr>
          <w:p w14:paraId="316659ED"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160</w:t>
            </w:r>
          </w:p>
        </w:tc>
        <w:tc>
          <w:tcPr>
            <w:tcW w:w="840" w:type="dxa"/>
            <w:tcBorders>
              <w:top w:val="nil"/>
              <w:left w:val="nil"/>
              <w:bottom w:val="single" w:sz="4" w:space="0" w:color="auto"/>
              <w:right w:val="single" w:sz="4" w:space="0" w:color="auto"/>
            </w:tcBorders>
            <w:shd w:val="clear" w:color="auto" w:fill="auto"/>
            <w:noWrap/>
            <w:hideMark/>
          </w:tcPr>
          <w:p w14:paraId="3E94A753"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208</w:t>
            </w:r>
          </w:p>
        </w:tc>
        <w:tc>
          <w:tcPr>
            <w:tcW w:w="860" w:type="dxa"/>
            <w:tcBorders>
              <w:top w:val="nil"/>
              <w:left w:val="nil"/>
              <w:bottom w:val="single" w:sz="4" w:space="0" w:color="auto"/>
              <w:right w:val="single" w:sz="4" w:space="0" w:color="auto"/>
            </w:tcBorders>
            <w:shd w:val="clear" w:color="auto" w:fill="auto"/>
            <w:noWrap/>
            <w:hideMark/>
          </w:tcPr>
          <w:p w14:paraId="67E3E6E7"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18</w:t>
            </w:r>
          </w:p>
        </w:tc>
        <w:tc>
          <w:tcPr>
            <w:tcW w:w="860" w:type="dxa"/>
            <w:tcBorders>
              <w:top w:val="nil"/>
              <w:left w:val="nil"/>
              <w:bottom w:val="single" w:sz="4" w:space="0" w:color="auto"/>
              <w:right w:val="single" w:sz="4" w:space="0" w:color="auto"/>
            </w:tcBorders>
            <w:shd w:val="clear" w:color="auto" w:fill="auto"/>
            <w:noWrap/>
            <w:hideMark/>
          </w:tcPr>
          <w:p w14:paraId="2D1E1E43"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3,0</w:t>
            </w:r>
          </w:p>
        </w:tc>
      </w:tr>
      <w:tr w:rsidR="00254736" w:rsidRPr="00254736" w14:paraId="4ACB8D23" w14:textId="77777777" w:rsidTr="0000745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hideMark/>
          </w:tcPr>
          <w:p w14:paraId="5E568E71"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6</w:t>
            </w:r>
          </w:p>
        </w:tc>
        <w:tc>
          <w:tcPr>
            <w:tcW w:w="960" w:type="dxa"/>
            <w:tcBorders>
              <w:top w:val="nil"/>
              <w:left w:val="nil"/>
              <w:bottom w:val="single" w:sz="4" w:space="0" w:color="000000"/>
              <w:right w:val="nil"/>
            </w:tcBorders>
            <w:shd w:val="clear" w:color="auto" w:fill="auto"/>
            <w:hideMark/>
          </w:tcPr>
          <w:p w14:paraId="39A35AB2" w14:textId="77777777" w:rsidR="00254736" w:rsidRPr="00254736" w:rsidRDefault="00254736" w:rsidP="00F337F6">
            <w:pPr>
              <w:jc w:val="center"/>
              <w:rPr>
                <w:rFonts w:eastAsia="Times New Roman"/>
                <w:szCs w:val="20"/>
                <w:lang w:val="id-ID" w:eastAsia="id-ID"/>
              </w:rPr>
            </w:pPr>
            <w:r w:rsidRPr="00254736">
              <w:rPr>
                <w:rFonts w:eastAsia="Times New Roman"/>
                <w:szCs w:val="20"/>
                <w:lang w:val="id-ID" w:eastAsia="id-ID"/>
              </w:rPr>
              <w:t>UNTR</w:t>
            </w:r>
          </w:p>
        </w:tc>
        <w:tc>
          <w:tcPr>
            <w:tcW w:w="1000" w:type="dxa"/>
            <w:tcBorders>
              <w:top w:val="nil"/>
              <w:left w:val="single" w:sz="4" w:space="0" w:color="auto"/>
              <w:bottom w:val="single" w:sz="4" w:space="0" w:color="auto"/>
              <w:right w:val="single" w:sz="4" w:space="0" w:color="auto"/>
            </w:tcBorders>
            <w:shd w:val="clear" w:color="auto" w:fill="auto"/>
            <w:noWrap/>
            <w:hideMark/>
          </w:tcPr>
          <w:p w14:paraId="4ADB29BE"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16%</w:t>
            </w:r>
          </w:p>
        </w:tc>
        <w:tc>
          <w:tcPr>
            <w:tcW w:w="940" w:type="dxa"/>
            <w:tcBorders>
              <w:top w:val="nil"/>
              <w:left w:val="nil"/>
              <w:bottom w:val="single" w:sz="4" w:space="0" w:color="auto"/>
              <w:right w:val="single" w:sz="4" w:space="0" w:color="auto"/>
            </w:tcBorders>
            <w:shd w:val="clear" w:color="auto" w:fill="auto"/>
            <w:noWrap/>
            <w:hideMark/>
          </w:tcPr>
          <w:p w14:paraId="54DD3803"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42%</w:t>
            </w:r>
          </w:p>
        </w:tc>
        <w:tc>
          <w:tcPr>
            <w:tcW w:w="860" w:type="dxa"/>
            <w:tcBorders>
              <w:top w:val="nil"/>
              <w:left w:val="nil"/>
              <w:bottom w:val="single" w:sz="4" w:space="0" w:color="auto"/>
              <w:right w:val="single" w:sz="4" w:space="0" w:color="auto"/>
            </w:tcBorders>
            <w:shd w:val="clear" w:color="auto" w:fill="auto"/>
            <w:noWrap/>
            <w:hideMark/>
          </w:tcPr>
          <w:p w14:paraId="45BAAAB3"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41%</w:t>
            </w:r>
          </w:p>
        </w:tc>
        <w:tc>
          <w:tcPr>
            <w:tcW w:w="880" w:type="dxa"/>
            <w:tcBorders>
              <w:top w:val="nil"/>
              <w:left w:val="nil"/>
              <w:bottom w:val="single" w:sz="4" w:space="0" w:color="auto"/>
              <w:right w:val="single" w:sz="4" w:space="0" w:color="auto"/>
            </w:tcBorders>
            <w:shd w:val="clear" w:color="auto" w:fill="auto"/>
            <w:noWrap/>
            <w:hideMark/>
          </w:tcPr>
          <w:p w14:paraId="2533662D"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1073</w:t>
            </w:r>
          </w:p>
        </w:tc>
        <w:tc>
          <w:tcPr>
            <w:tcW w:w="840" w:type="dxa"/>
            <w:tcBorders>
              <w:top w:val="nil"/>
              <w:left w:val="nil"/>
              <w:bottom w:val="single" w:sz="4" w:space="0" w:color="auto"/>
              <w:right w:val="single" w:sz="4" w:space="0" w:color="auto"/>
            </w:tcBorders>
            <w:shd w:val="clear" w:color="auto" w:fill="auto"/>
            <w:noWrap/>
            <w:hideMark/>
          </w:tcPr>
          <w:p w14:paraId="3FE39B53"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2595</w:t>
            </w:r>
          </w:p>
        </w:tc>
        <w:tc>
          <w:tcPr>
            <w:tcW w:w="860" w:type="dxa"/>
            <w:tcBorders>
              <w:top w:val="nil"/>
              <w:left w:val="nil"/>
              <w:bottom w:val="single" w:sz="4" w:space="0" w:color="auto"/>
              <w:right w:val="single" w:sz="4" w:space="0" w:color="auto"/>
            </w:tcBorders>
            <w:shd w:val="clear" w:color="auto" w:fill="auto"/>
            <w:noWrap/>
            <w:hideMark/>
          </w:tcPr>
          <w:p w14:paraId="19CA83DD"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10</w:t>
            </w:r>
          </w:p>
        </w:tc>
        <w:tc>
          <w:tcPr>
            <w:tcW w:w="860" w:type="dxa"/>
            <w:tcBorders>
              <w:top w:val="nil"/>
              <w:left w:val="nil"/>
              <w:bottom w:val="single" w:sz="4" w:space="0" w:color="auto"/>
              <w:right w:val="single" w:sz="4" w:space="0" w:color="auto"/>
            </w:tcBorders>
            <w:shd w:val="clear" w:color="auto" w:fill="auto"/>
            <w:noWrap/>
            <w:hideMark/>
          </w:tcPr>
          <w:p w14:paraId="09317E6B"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1,5</w:t>
            </w:r>
          </w:p>
        </w:tc>
      </w:tr>
      <w:tr w:rsidR="00254736" w:rsidRPr="00254736" w14:paraId="129FFA27" w14:textId="77777777" w:rsidTr="00007450">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hideMark/>
          </w:tcPr>
          <w:p w14:paraId="7DF24F61"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7</w:t>
            </w:r>
          </w:p>
        </w:tc>
        <w:tc>
          <w:tcPr>
            <w:tcW w:w="960" w:type="dxa"/>
            <w:tcBorders>
              <w:top w:val="nil"/>
              <w:left w:val="nil"/>
              <w:bottom w:val="single" w:sz="4" w:space="0" w:color="auto"/>
              <w:right w:val="nil"/>
            </w:tcBorders>
            <w:shd w:val="clear" w:color="auto" w:fill="auto"/>
            <w:noWrap/>
            <w:hideMark/>
          </w:tcPr>
          <w:p w14:paraId="53DC2A02" w14:textId="77777777" w:rsidR="00254736" w:rsidRPr="00254736" w:rsidRDefault="00254736" w:rsidP="00F337F6">
            <w:pPr>
              <w:jc w:val="center"/>
              <w:rPr>
                <w:rFonts w:eastAsia="Times New Roman"/>
                <w:szCs w:val="20"/>
                <w:lang w:val="id-ID" w:eastAsia="id-ID"/>
              </w:rPr>
            </w:pPr>
            <w:r w:rsidRPr="00254736">
              <w:rPr>
                <w:rFonts w:eastAsia="Times New Roman"/>
                <w:szCs w:val="20"/>
                <w:lang w:val="id-ID" w:eastAsia="id-ID"/>
              </w:rPr>
              <w:t>UNVR</w:t>
            </w:r>
          </w:p>
        </w:tc>
        <w:tc>
          <w:tcPr>
            <w:tcW w:w="1000" w:type="dxa"/>
            <w:tcBorders>
              <w:top w:val="nil"/>
              <w:left w:val="single" w:sz="4" w:space="0" w:color="auto"/>
              <w:bottom w:val="single" w:sz="4" w:space="0" w:color="auto"/>
              <w:right w:val="single" w:sz="4" w:space="0" w:color="auto"/>
            </w:tcBorders>
            <w:shd w:val="clear" w:color="auto" w:fill="auto"/>
            <w:noWrap/>
            <w:hideMark/>
          </w:tcPr>
          <w:p w14:paraId="40446C9D"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135%</w:t>
            </w:r>
          </w:p>
        </w:tc>
        <w:tc>
          <w:tcPr>
            <w:tcW w:w="940" w:type="dxa"/>
            <w:tcBorders>
              <w:top w:val="nil"/>
              <w:left w:val="nil"/>
              <w:bottom w:val="single" w:sz="4" w:space="0" w:color="auto"/>
              <w:right w:val="single" w:sz="4" w:space="0" w:color="auto"/>
            </w:tcBorders>
            <w:shd w:val="clear" w:color="auto" w:fill="auto"/>
            <w:noWrap/>
            <w:hideMark/>
          </w:tcPr>
          <w:p w14:paraId="1C078D5E"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73%</w:t>
            </w:r>
          </w:p>
        </w:tc>
        <w:tc>
          <w:tcPr>
            <w:tcW w:w="860" w:type="dxa"/>
            <w:tcBorders>
              <w:top w:val="nil"/>
              <w:left w:val="nil"/>
              <w:bottom w:val="single" w:sz="4" w:space="0" w:color="auto"/>
              <w:right w:val="single" w:sz="4" w:space="0" w:color="auto"/>
            </w:tcBorders>
            <w:shd w:val="clear" w:color="auto" w:fill="auto"/>
            <w:noWrap/>
            <w:hideMark/>
          </w:tcPr>
          <w:p w14:paraId="68C709D1"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83%</w:t>
            </w:r>
          </w:p>
        </w:tc>
        <w:tc>
          <w:tcPr>
            <w:tcW w:w="880" w:type="dxa"/>
            <w:tcBorders>
              <w:top w:val="nil"/>
              <w:left w:val="nil"/>
              <w:bottom w:val="single" w:sz="4" w:space="0" w:color="auto"/>
              <w:right w:val="single" w:sz="4" w:space="0" w:color="auto"/>
            </w:tcBorders>
            <w:shd w:val="clear" w:color="auto" w:fill="auto"/>
            <w:noWrap/>
            <w:hideMark/>
          </w:tcPr>
          <w:p w14:paraId="36D07962"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136</w:t>
            </w:r>
          </w:p>
        </w:tc>
        <w:tc>
          <w:tcPr>
            <w:tcW w:w="840" w:type="dxa"/>
            <w:tcBorders>
              <w:top w:val="nil"/>
              <w:left w:val="nil"/>
              <w:bottom w:val="single" w:sz="4" w:space="0" w:color="auto"/>
              <w:right w:val="single" w:sz="4" w:space="0" w:color="auto"/>
            </w:tcBorders>
            <w:shd w:val="clear" w:color="auto" w:fill="auto"/>
            <w:noWrap/>
            <w:hideMark/>
          </w:tcPr>
          <w:p w14:paraId="76CD7200"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193</w:t>
            </w:r>
          </w:p>
        </w:tc>
        <w:tc>
          <w:tcPr>
            <w:tcW w:w="860" w:type="dxa"/>
            <w:tcBorders>
              <w:top w:val="nil"/>
              <w:left w:val="nil"/>
              <w:bottom w:val="single" w:sz="4" w:space="0" w:color="auto"/>
              <w:right w:val="single" w:sz="4" w:space="0" w:color="auto"/>
            </w:tcBorders>
            <w:shd w:val="clear" w:color="auto" w:fill="auto"/>
            <w:noWrap/>
            <w:hideMark/>
          </w:tcPr>
          <w:p w14:paraId="429B5C31"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37</w:t>
            </w:r>
          </w:p>
        </w:tc>
        <w:tc>
          <w:tcPr>
            <w:tcW w:w="860" w:type="dxa"/>
            <w:tcBorders>
              <w:top w:val="nil"/>
              <w:left w:val="nil"/>
              <w:bottom w:val="single" w:sz="4" w:space="0" w:color="auto"/>
              <w:right w:val="single" w:sz="4" w:space="0" w:color="auto"/>
            </w:tcBorders>
            <w:shd w:val="clear" w:color="auto" w:fill="auto"/>
            <w:noWrap/>
            <w:hideMark/>
          </w:tcPr>
          <w:p w14:paraId="5D2C96BF" w14:textId="77777777" w:rsidR="00254736" w:rsidRPr="00254736" w:rsidRDefault="00254736" w:rsidP="00F337F6">
            <w:pPr>
              <w:jc w:val="center"/>
              <w:rPr>
                <w:rFonts w:eastAsia="Times New Roman"/>
                <w:color w:val="000000"/>
                <w:szCs w:val="20"/>
                <w:lang w:val="id-ID" w:eastAsia="id-ID"/>
              </w:rPr>
            </w:pPr>
            <w:r w:rsidRPr="00254736">
              <w:rPr>
                <w:rFonts w:eastAsia="Times New Roman"/>
                <w:color w:val="000000"/>
                <w:szCs w:val="20"/>
                <w:lang w:val="id-ID" w:eastAsia="id-ID"/>
              </w:rPr>
              <w:t>50,2</w:t>
            </w:r>
          </w:p>
        </w:tc>
      </w:tr>
    </w:tbl>
    <w:p w14:paraId="1E4C58B3" w14:textId="77777777" w:rsidR="00254736" w:rsidRDefault="00254736" w:rsidP="00254736">
      <w:pPr>
        <w:pStyle w:val="ListParagraph"/>
        <w:jc w:val="both"/>
      </w:pPr>
      <w:r>
        <w:rPr>
          <w:lang w:val="id-ID"/>
        </w:rPr>
        <w:t>Sumber : Data diolah (2022)</w:t>
      </w:r>
    </w:p>
    <w:p w14:paraId="19D50BA6" w14:textId="77777777" w:rsidR="00007450" w:rsidRDefault="00007450" w:rsidP="00007450">
      <w:pPr>
        <w:jc w:val="both"/>
      </w:pPr>
    </w:p>
    <w:p w14:paraId="475F5515" w14:textId="58FB8B2F" w:rsidR="00007450" w:rsidRPr="00007450" w:rsidRDefault="00007450" w:rsidP="003A6E7F">
      <w:pPr>
        <w:jc w:val="both"/>
        <w:rPr>
          <w:b/>
          <w:bCs/>
        </w:rPr>
      </w:pPr>
      <w:r w:rsidRPr="00007450">
        <w:rPr>
          <w:b/>
          <w:bCs/>
          <w:lang w:val="id-ID"/>
        </w:rPr>
        <w:t>Rasio ROE</w:t>
      </w:r>
    </w:p>
    <w:p w14:paraId="0B9FE14B" w14:textId="2C558493" w:rsidR="003A6E7F" w:rsidRPr="00423EFA" w:rsidRDefault="00202F80" w:rsidP="003A6E7F">
      <w:pPr>
        <w:ind w:firstLine="426"/>
        <w:jc w:val="both"/>
        <w:rPr>
          <w:lang w:val="id-ID"/>
        </w:rPr>
      </w:pPr>
      <w:r>
        <w:rPr>
          <w:lang w:val="id-ID"/>
        </w:rPr>
        <w:t xml:space="preserve">Rasio </w:t>
      </w:r>
      <w:r w:rsidR="00254736">
        <w:rPr>
          <w:lang w:val="id-ID"/>
        </w:rPr>
        <w:t>ROE</w:t>
      </w:r>
      <w:r w:rsidR="00254736" w:rsidRPr="00254736">
        <w:rPr>
          <w:lang w:val="id-ID"/>
        </w:rPr>
        <w:t xml:space="preserve"> </w:t>
      </w:r>
      <w:r w:rsidR="00254736">
        <w:rPr>
          <w:lang w:val="id-ID"/>
        </w:rPr>
        <w:t>membandingkan</w:t>
      </w:r>
      <w:r w:rsidR="00254736" w:rsidRPr="00254736">
        <w:rPr>
          <w:lang w:val="id-ID"/>
        </w:rPr>
        <w:t xml:space="preserve"> antara </w:t>
      </w:r>
      <w:r w:rsidR="00D127DC" w:rsidRPr="00D127DC">
        <w:rPr>
          <w:i/>
          <w:lang w:val="id-ID"/>
        </w:rPr>
        <w:t>net income</w:t>
      </w:r>
      <w:r w:rsidR="00254736" w:rsidRPr="00254736">
        <w:rPr>
          <w:lang w:val="id-ID"/>
        </w:rPr>
        <w:t xml:space="preserve"> dengan </w:t>
      </w:r>
      <w:r w:rsidR="00416314">
        <w:rPr>
          <w:lang w:val="id-ID"/>
        </w:rPr>
        <w:t>ekuitas</w:t>
      </w:r>
      <w:r w:rsidR="00254736" w:rsidRPr="00254736">
        <w:rPr>
          <w:lang w:val="id-ID"/>
        </w:rPr>
        <w:t xml:space="preserve"> dan </w:t>
      </w:r>
      <w:r w:rsidR="00D127DC">
        <w:rPr>
          <w:lang w:val="id-ID"/>
        </w:rPr>
        <w:t xml:space="preserve">juga sebagai </w:t>
      </w:r>
      <w:r w:rsidR="00254736" w:rsidRPr="00254736">
        <w:rPr>
          <w:lang w:val="id-ID"/>
        </w:rPr>
        <w:t xml:space="preserve"> </w:t>
      </w:r>
      <w:r w:rsidR="00D127DC">
        <w:rPr>
          <w:lang w:val="id-ID"/>
        </w:rPr>
        <w:t xml:space="preserve">cerminan </w:t>
      </w:r>
      <w:r w:rsidR="00254736" w:rsidRPr="00254736">
        <w:rPr>
          <w:lang w:val="id-ID"/>
        </w:rPr>
        <w:t xml:space="preserve">informasi </w:t>
      </w:r>
      <w:r w:rsidR="00D127DC">
        <w:rPr>
          <w:lang w:val="id-ID"/>
        </w:rPr>
        <w:t>terkait</w:t>
      </w:r>
      <w:r w:rsidR="00254736" w:rsidRPr="00254736">
        <w:rPr>
          <w:lang w:val="id-ID"/>
        </w:rPr>
        <w:t xml:space="preserve"> pertumbuhan perusahaan. Berdasarkan hasil perhitungan ROE, rata-rata ROE tertinggi dimiliki oleh UNVR sebesar 135%, kedua dimiliki oleh HMSP sebesar 32%, ketiga dimiliki oleh TLKM sebesar 24%, keempat dimiliki UNTR sebesar 16%, kelima ASII sebesar 13%, keenam dimiliki INDF sebesar 11%, ketujuh dimiliki INTP sebesar 7%.</w:t>
      </w:r>
    </w:p>
    <w:p w14:paraId="0933FCBE" w14:textId="77777777" w:rsidR="003A6E7F" w:rsidRPr="00B70F1E" w:rsidRDefault="003A6E7F" w:rsidP="00423EFA">
      <w:pPr>
        <w:jc w:val="both"/>
        <w:rPr>
          <w:lang w:val="id-ID"/>
        </w:rPr>
      </w:pPr>
    </w:p>
    <w:p w14:paraId="10DA6B81" w14:textId="265AFCC5" w:rsidR="003A6E7F" w:rsidRPr="003A6E7F" w:rsidRDefault="003A6E7F" w:rsidP="003A6E7F">
      <w:pPr>
        <w:jc w:val="both"/>
        <w:rPr>
          <w:b/>
          <w:bCs/>
        </w:rPr>
      </w:pPr>
      <w:r w:rsidRPr="003A6E7F">
        <w:rPr>
          <w:b/>
          <w:bCs/>
          <w:lang w:val="id-ID"/>
        </w:rPr>
        <w:t>Rasio DER</w:t>
      </w:r>
    </w:p>
    <w:p w14:paraId="2DE4E670" w14:textId="77777777" w:rsidR="00007450" w:rsidRPr="00423EFA" w:rsidRDefault="00202F80" w:rsidP="00007450">
      <w:pPr>
        <w:ind w:firstLine="426"/>
        <w:jc w:val="both"/>
        <w:rPr>
          <w:lang w:val="id-ID"/>
        </w:rPr>
      </w:pPr>
      <w:r>
        <w:rPr>
          <w:lang w:val="id-ID"/>
        </w:rPr>
        <w:t xml:space="preserve">Rasio </w:t>
      </w:r>
      <w:r w:rsidR="00254736" w:rsidRPr="00254736">
        <w:rPr>
          <w:lang w:val="id-ID"/>
        </w:rPr>
        <w:t>DER di</w:t>
      </w:r>
      <w:r w:rsidR="00647A65">
        <w:rPr>
          <w:lang w:val="id-ID"/>
        </w:rPr>
        <w:t>per</w:t>
      </w:r>
      <w:r w:rsidR="00254736" w:rsidRPr="00254736">
        <w:rPr>
          <w:lang w:val="id-ID"/>
        </w:rPr>
        <w:t xml:space="preserve">gunakan </w:t>
      </w:r>
      <w:r w:rsidR="00647A65">
        <w:rPr>
          <w:lang w:val="id-ID"/>
        </w:rPr>
        <w:t>untuk melihat</w:t>
      </w:r>
      <w:r w:rsidR="00254736" w:rsidRPr="00254736">
        <w:rPr>
          <w:lang w:val="id-ID"/>
        </w:rPr>
        <w:t xml:space="preserve"> </w:t>
      </w:r>
      <w:r w:rsidR="00647A65">
        <w:rPr>
          <w:lang w:val="id-ID"/>
        </w:rPr>
        <w:t>berapa</w:t>
      </w:r>
      <w:r w:rsidR="00254736" w:rsidRPr="00254736">
        <w:rPr>
          <w:lang w:val="id-ID"/>
        </w:rPr>
        <w:t xml:space="preserve"> besar hutang sebuah perusahaan yang di</w:t>
      </w:r>
      <w:r w:rsidR="00647A65">
        <w:rPr>
          <w:lang w:val="id-ID"/>
        </w:rPr>
        <w:t>per</w:t>
      </w:r>
      <w:r w:rsidR="00254736" w:rsidRPr="00254736">
        <w:rPr>
          <w:lang w:val="id-ID"/>
        </w:rPr>
        <w:t xml:space="preserve">gunakan </w:t>
      </w:r>
      <w:r w:rsidR="00647A65">
        <w:rPr>
          <w:lang w:val="id-ID"/>
        </w:rPr>
        <w:t>dalam</w:t>
      </w:r>
      <w:r w:rsidR="00254736" w:rsidRPr="00254736">
        <w:rPr>
          <w:lang w:val="id-ID"/>
        </w:rPr>
        <w:t xml:space="preserve"> </w:t>
      </w:r>
      <w:r w:rsidR="00CC09ED">
        <w:rPr>
          <w:lang w:val="id-ID"/>
        </w:rPr>
        <w:t>kegiatan</w:t>
      </w:r>
      <w:r w:rsidR="00254736" w:rsidRPr="00254736">
        <w:rPr>
          <w:lang w:val="id-ID"/>
        </w:rPr>
        <w:t xml:space="preserve"> operasionalnya dibandingkan dengan nilai ekuitas yang dimilikinya (Movizar &amp; </w:t>
      </w:r>
      <w:r w:rsidR="00254736" w:rsidRPr="00254736">
        <w:rPr>
          <w:lang w:val="id-ID"/>
        </w:rPr>
        <w:lastRenderedPageBreak/>
        <w:t>Manurung, 2022). Berdasarkan hasil perhitungan rata-rata DER dari yang terendah hingga yang tertinggi adalah sebagai berikut INTP sebesar 18%, HMSP sebesar 35%, UNTR sebesar 42%, ASII sebesar 45%, TLKM sebesar 47%, INDF sebesar 49%, UNVR sebesar 73%.</w:t>
      </w:r>
    </w:p>
    <w:p w14:paraId="02CC308E" w14:textId="77777777" w:rsidR="003A6E7F" w:rsidRPr="00423EFA" w:rsidRDefault="003A6E7F" w:rsidP="003A6E7F">
      <w:pPr>
        <w:jc w:val="both"/>
        <w:rPr>
          <w:b/>
          <w:bCs/>
          <w:lang w:val="id-ID"/>
        </w:rPr>
      </w:pPr>
    </w:p>
    <w:p w14:paraId="0AA6524B" w14:textId="6E6F6451" w:rsidR="003A6E7F" w:rsidRPr="00423EFA" w:rsidRDefault="003A6E7F" w:rsidP="003A6E7F">
      <w:pPr>
        <w:jc w:val="both"/>
        <w:rPr>
          <w:b/>
          <w:bCs/>
          <w:lang w:val="id-ID"/>
        </w:rPr>
      </w:pPr>
      <w:r w:rsidRPr="003A6E7F">
        <w:rPr>
          <w:b/>
          <w:bCs/>
          <w:lang w:val="id-ID"/>
        </w:rPr>
        <w:t>Rasio DPR</w:t>
      </w:r>
    </w:p>
    <w:p w14:paraId="5239477F" w14:textId="77777777" w:rsidR="00007450" w:rsidRPr="00423EFA" w:rsidRDefault="00202F80" w:rsidP="00007450">
      <w:pPr>
        <w:ind w:firstLine="426"/>
        <w:jc w:val="both"/>
        <w:rPr>
          <w:lang w:val="id-ID"/>
        </w:rPr>
      </w:pPr>
      <w:r>
        <w:rPr>
          <w:lang w:val="id-ID"/>
        </w:rPr>
        <w:t>R</w:t>
      </w:r>
      <w:r w:rsidR="00254736" w:rsidRPr="00254736">
        <w:rPr>
          <w:lang w:val="id-ID"/>
        </w:rPr>
        <w:t>asio DPR men</w:t>
      </w:r>
      <w:r w:rsidR="00CC09ED">
        <w:rPr>
          <w:lang w:val="id-ID"/>
        </w:rPr>
        <w:t xml:space="preserve">unjukkan </w:t>
      </w:r>
      <w:r w:rsidR="00254736" w:rsidRPr="00254736">
        <w:rPr>
          <w:lang w:val="id-ID"/>
        </w:rPr>
        <w:t>hasil perhitungan rata-rata DPR dari yang tertinggi hingga terendah adalah sebagai berikut INTP sebesar 144%, HMSP sebesar 99%, UNVR sebesar 83%, TLKM sebesar 79%, INDF sebesar 42%, UNTR sebesar 41%, ASII sebesar 39%.</w:t>
      </w:r>
    </w:p>
    <w:p w14:paraId="39894935" w14:textId="77777777" w:rsidR="003A6E7F" w:rsidRPr="00423EFA" w:rsidRDefault="003A6E7F" w:rsidP="003A6E7F">
      <w:pPr>
        <w:jc w:val="both"/>
        <w:rPr>
          <w:lang w:val="id-ID"/>
        </w:rPr>
      </w:pPr>
    </w:p>
    <w:p w14:paraId="42686220" w14:textId="1169882B" w:rsidR="003A6E7F" w:rsidRPr="00423EFA" w:rsidRDefault="003A6E7F" w:rsidP="003A6E7F">
      <w:pPr>
        <w:jc w:val="both"/>
        <w:rPr>
          <w:b/>
          <w:bCs/>
          <w:lang w:val="id-ID"/>
        </w:rPr>
      </w:pPr>
      <w:r w:rsidRPr="003A6E7F">
        <w:rPr>
          <w:b/>
          <w:bCs/>
          <w:lang w:val="id-ID"/>
        </w:rPr>
        <w:t>Rasio DPS</w:t>
      </w:r>
    </w:p>
    <w:p w14:paraId="16C0BE51" w14:textId="77777777" w:rsidR="00007450" w:rsidRPr="00423EFA" w:rsidRDefault="00202F80" w:rsidP="00007450">
      <w:pPr>
        <w:ind w:firstLine="426"/>
        <w:jc w:val="both"/>
        <w:rPr>
          <w:lang w:val="id-ID"/>
        </w:rPr>
      </w:pPr>
      <w:r>
        <w:rPr>
          <w:lang w:val="id-ID"/>
        </w:rPr>
        <w:t xml:space="preserve">Rasio </w:t>
      </w:r>
      <w:r w:rsidR="00254736" w:rsidRPr="00202F80">
        <w:rPr>
          <w:lang w:val="id-ID"/>
        </w:rPr>
        <w:t xml:space="preserve">DPS </w:t>
      </w:r>
      <w:r w:rsidR="00FB04D0">
        <w:rPr>
          <w:lang w:val="id-ID"/>
        </w:rPr>
        <w:t>b</w:t>
      </w:r>
      <w:r w:rsidR="00254736" w:rsidRPr="00202F80">
        <w:rPr>
          <w:lang w:val="id-ID"/>
        </w:rPr>
        <w:t>erdasarkan perhitungan nilai rata-rata DPS dari tahun 2018 hingga 2021 dari urutan tertinggi hingga terendah adalah sebagai berikut UNTR sebesar 1.073, INTP sebesar 606, INDF sebesar 268, ASII sebesar 195, TLKM sebesar 16, UNVR sebesar 136, HMSP sebesar 96.</w:t>
      </w:r>
    </w:p>
    <w:p w14:paraId="6EB2399C" w14:textId="77777777" w:rsidR="003A6E7F" w:rsidRPr="00423EFA" w:rsidRDefault="003A6E7F" w:rsidP="00007450">
      <w:pPr>
        <w:ind w:firstLine="426"/>
        <w:jc w:val="both"/>
        <w:rPr>
          <w:lang w:val="id-ID"/>
        </w:rPr>
      </w:pPr>
    </w:p>
    <w:p w14:paraId="2EA96B19" w14:textId="347E5C93" w:rsidR="003A6E7F" w:rsidRPr="003A6E7F" w:rsidRDefault="003A6E7F" w:rsidP="003A6E7F">
      <w:pPr>
        <w:jc w:val="both"/>
        <w:rPr>
          <w:b/>
          <w:bCs/>
        </w:rPr>
      </w:pPr>
      <w:r w:rsidRPr="003A6E7F">
        <w:rPr>
          <w:b/>
          <w:bCs/>
          <w:lang w:val="id-ID"/>
        </w:rPr>
        <w:t>Rasio EPS</w:t>
      </w:r>
    </w:p>
    <w:p w14:paraId="4DE2FCD3" w14:textId="7B51F7CC" w:rsidR="00254736" w:rsidRPr="00423EFA" w:rsidRDefault="00202F80" w:rsidP="00007450">
      <w:pPr>
        <w:ind w:firstLine="426"/>
        <w:jc w:val="both"/>
        <w:rPr>
          <w:lang w:val="id-ID"/>
        </w:rPr>
      </w:pPr>
      <w:r>
        <w:rPr>
          <w:lang w:val="id-ID"/>
        </w:rPr>
        <w:t>R</w:t>
      </w:r>
      <w:r w:rsidR="00254736" w:rsidRPr="00202F80">
        <w:rPr>
          <w:lang w:val="id-ID"/>
        </w:rPr>
        <w:t xml:space="preserve">asio EPS </w:t>
      </w:r>
      <w:r w:rsidR="00416314">
        <w:rPr>
          <w:lang w:val="id-ID"/>
        </w:rPr>
        <w:t>adalah rasio</w:t>
      </w:r>
      <w:r w:rsidR="00254736" w:rsidRPr="00202F80">
        <w:rPr>
          <w:lang w:val="id-ID"/>
        </w:rPr>
        <w:t xml:space="preserve"> </w:t>
      </w:r>
      <w:r w:rsidR="00416314">
        <w:rPr>
          <w:lang w:val="id-ID"/>
        </w:rPr>
        <w:t>yang membandingkan</w:t>
      </w:r>
      <w:r w:rsidR="00254736" w:rsidRPr="00202F80">
        <w:rPr>
          <w:lang w:val="id-ID"/>
        </w:rPr>
        <w:t xml:space="preserve"> laba bersih dengan saham yang </w:t>
      </w:r>
      <w:r w:rsidR="00CC09ED">
        <w:rPr>
          <w:lang w:val="id-ID"/>
        </w:rPr>
        <w:t>beredar</w:t>
      </w:r>
      <w:r w:rsidR="00254736" w:rsidRPr="00202F80">
        <w:rPr>
          <w:lang w:val="id-ID"/>
        </w:rPr>
        <w:t xml:space="preserve"> dan </w:t>
      </w:r>
      <w:r w:rsidR="00671859">
        <w:rPr>
          <w:lang w:val="id-ID"/>
        </w:rPr>
        <w:t>meng</w:t>
      </w:r>
      <w:r w:rsidR="00254736" w:rsidRPr="00202F80">
        <w:rPr>
          <w:lang w:val="id-ID"/>
        </w:rPr>
        <w:t>informasi</w:t>
      </w:r>
      <w:r w:rsidR="00671859">
        <w:rPr>
          <w:lang w:val="id-ID"/>
        </w:rPr>
        <w:t>kan</w:t>
      </w:r>
      <w:r w:rsidR="00CC09ED">
        <w:rPr>
          <w:lang w:val="id-ID"/>
        </w:rPr>
        <w:t xml:space="preserve"> tentang pertumbuhan perusahaan </w:t>
      </w:r>
      <w:r>
        <w:rPr>
          <w:lang w:val="id-ID"/>
        </w:rPr>
        <w:t>(Peranginangin, A. M., 2021)</w:t>
      </w:r>
      <w:r w:rsidR="00254736" w:rsidRPr="00202F80">
        <w:rPr>
          <w:lang w:val="id-ID"/>
        </w:rPr>
        <w:t>. Semakin tinggi rasio EPS mengindikasikan bahwa kemampuan perusahaan dalam memperoleh laba semakin bertambahnya. Hal ini juga mengindikasikan bertambah pula kemampuan perusahaan untuk menjual produk-produknya dan menghasilkan uang. Adapun hasil perhitungan rata-rata EPS dari yang tertinggi hingga terendah adalah sebagai berikut UNTR sebesar 2.595, INDF sebesar 660, ASII sebesar 492, INTP sebesar 447, TLKM sebesar 208, UNVR sebesar 193, HMSP sebesar 92.</w:t>
      </w:r>
    </w:p>
    <w:p w14:paraId="7E0118AF" w14:textId="77777777" w:rsidR="003A6E7F" w:rsidRPr="00423EFA" w:rsidRDefault="003A6E7F" w:rsidP="003A6E7F">
      <w:pPr>
        <w:jc w:val="both"/>
        <w:rPr>
          <w:lang w:val="id-ID"/>
        </w:rPr>
      </w:pPr>
    </w:p>
    <w:p w14:paraId="0B1CE5A4" w14:textId="6EA285FD" w:rsidR="003A6E7F" w:rsidRPr="003A6E7F" w:rsidRDefault="003A6E7F" w:rsidP="003A6E7F">
      <w:pPr>
        <w:jc w:val="both"/>
        <w:rPr>
          <w:b/>
          <w:bCs/>
        </w:rPr>
      </w:pPr>
      <w:r w:rsidRPr="003A6E7F">
        <w:rPr>
          <w:b/>
          <w:bCs/>
          <w:lang w:val="id-ID"/>
        </w:rPr>
        <w:t>Rasio PER</w:t>
      </w:r>
    </w:p>
    <w:p w14:paraId="180A035F" w14:textId="77777777" w:rsidR="00254736" w:rsidRPr="00202F80" w:rsidRDefault="00254736" w:rsidP="00202F80">
      <w:pPr>
        <w:ind w:firstLine="360"/>
        <w:jc w:val="both"/>
        <w:rPr>
          <w:lang w:val="id-ID"/>
        </w:rPr>
      </w:pPr>
      <w:r w:rsidRPr="00202F80">
        <w:rPr>
          <w:lang w:val="id-ID"/>
        </w:rPr>
        <w:t>Rasio PER bertujuan untuk melihat harga saham relatif terhadap earningnya (Hanafi, M. M., 2014). Berdasarkan hasil perhitungan rata-rata PER yang diurutkan dari terendah hingga tertinggi adalah sebagai berikut UNTR 10x, INDF 12x, ASII 14x, TLKM 18x, HMSP 21x, UNVR 37x, INTP 38x. Nilai PER yang tinggi menunjukkan semakin panjangnya waktu yang dibutuhkan untuk mengembalikan modal yang diinvestasikan, dan sebaliknya. Jika PER semakin rendah maka hal tersebut menunjukkan semakin pendeknya waktu yang dibutuhkan untuk mengembalikan modal yang diinvestasikan.</w:t>
      </w:r>
    </w:p>
    <w:p w14:paraId="04E241E6" w14:textId="53300962" w:rsidR="00254736" w:rsidRDefault="00254736" w:rsidP="00202F80">
      <w:pPr>
        <w:ind w:firstLine="360"/>
        <w:jc w:val="both"/>
        <w:rPr>
          <w:lang w:val="id-ID"/>
        </w:rPr>
      </w:pPr>
      <w:r w:rsidRPr="00202F80">
        <w:rPr>
          <w:lang w:val="id-ID"/>
        </w:rPr>
        <w:t>Berdasarkan hasil perhitungan PBV dari ketujuh emiten tersebut memiliki rata-rata PBV &gt; 1 atau dapat dikategorikan overvalued (Movizar &amp; Manurung, 2022). Namun jika diurutkan dari nilai PBV terendah hingga tertinggi adalah sebagai berikut INDF sebesar 1,0 ASII sebesar 1,4, UNTR sebesar 1,5, INTP sebesar 2,6, TLKM sebesar 3,0, HMSP sebesar 3,0, UNVR sebesar 50,2.</w:t>
      </w:r>
    </w:p>
    <w:p w14:paraId="44B14655" w14:textId="77777777" w:rsidR="00202F80" w:rsidRPr="00202F80" w:rsidRDefault="00202F80" w:rsidP="00202F80">
      <w:pPr>
        <w:ind w:firstLine="360"/>
        <w:jc w:val="both"/>
        <w:rPr>
          <w:b/>
          <w:lang w:val="id-ID"/>
        </w:rPr>
      </w:pPr>
    </w:p>
    <w:p w14:paraId="5E73D69F" w14:textId="60BCF032" w:rsidR="00012AE6" w:rsidRPr="003A6E7F" w:rsidRDefault="00012AE6" w:rsidP="003A6E7F">
      <w:pPr>
        <w:rPr>
          <w:b/>
          <w:lang w:val="id-ID"/>
        </w:rPr>
      </w:pPr>
      <w:r w:rsidRPr="003A6E7F">
        <w:rPr>
          <w:b/>
          <w:lang w:val="id-ID"/>
        </w:rPr>
        <w:t>Pembahasan</w:t>
      </w:r>
      <w:r w:rsidR="00EA7A30" w:rsidRPr="003A6E7F">
        <w:rPr>
          <w:b/>
          <w:lang w:val="id-ID"/>
        </w:rPr>
        <w:t xml:space="preserve"> </w:t>
      </w:r>
    </w:p>
    <w:p w14:paraId="5EDD0D6D" w14:textId="37B5A67D" w:rsidR="00202F80" w:rsidRDefault="00202F80" w:rsidP="003A6E7F">
      <w:pPr>
        <w:pStyle w:val="ListParagraph"/>
        <w:spacing w:line="276" w:lineRule="auto"/>
        <w:ind w:left="0" w:firstLine="426"/>
        <w:jc w:val="both"/>
        <w:rPr>
          <w:lang w:val="id-ID"/>
        </w:rPr>
      </w:pPr>
      <w:r w:rsidRPr="00202F80">
        <w:rPr>
          <w:lang w:val="id-ID"/>
        </w:rPr>
        <w:t>Hasil analisis fundamental menunjukkan bahwa rata-rata ROE tertinggi dimiliki oleh UNVR, rata-rata DER terendah adalah INTP, rata-rata DPR tertinggi adalah INTP, rata-rata DPS tertinggi adalah UNTR, rata-rata EPS tertinggi adalah UNTR, rata-rata PER terendah adalah UNTR.</w:t>
      </w:r>
      <w:r>
        <w:rPr>
          <w:lang w:val="id-ID"/>
        </w:rPr>
        <w:t xml:space="preserve"> J</w:t>
      </w:r>
      <w:r w:rsidRPr="00202F80">
        <w:rPr>
          <w:lang w:val="id-ID"/>
        </w:rPr>
        <w:t>ika dilihat dari rata-rata PER terdapat lima emiten yang memiliki harga yang relatif murah dimana PER &lt; 15x yaitu UNTR, INDF dan ASII. Sedangkan berdasarkan rata-rata PBV hanya terdapat satu emiten yang memilki PBV &lt; 1 yaitu INDF. Dapat disimpulkan bahwa INDF merupakan satu-satunya emiten yang masih berkategori undervalued. Dan jika dilihat dari segi fundamental INDF juga terbilang berfundamental baik. Sedangkan jika didasarkan pada PER terdapat dua emiten berkategori undervalued yaitu UNTR dan ASII. Kedua emiten ini jika dilihat dari segi fundamental masih berada pada lima emiten dengan fundamental yang baik. Akan tetapi dalaam pengambilan keputusan investasi, investor juga harus melengkapi dengan prospek perusahaan di masa mendatang.</w:t>
      </w:r>
    </w:p>
    <w:p w14:paraId="7BE28420" w14:textId="77777777" w:rsidR="003A6E7F" w:rsidRPr="003A6E7F" w:rsidRDefault="003A6E7F" w:rsidP="00423EFA">
      <w:pPr>
        <w:spacing w:line="276" w:lineRule="auto"/>
        <w:jc w:val="both"/>
      </w:pPr>
    </w:p>
    <w:p w14:paraId="0E2ABB97" w14:textId="1CFD86BA" w:rsidR="00EA7A30" w:rsidRPr="003A6E7F" w:rsidRDefault="00EA7A30" w:rsidP="003A6E7F">
      <w:pPr>
        <w:pStyle w:val="ListParagraph"/>
        <w:numPr>
          <w:ilvl w:val="0"/>
          <w:numId w:val="5"/>
        </w:numPr>
        <w:spacing w:line="276" w:lineRule="auto"/>
        <w:ind w:left="426" w:hanging="426"/>
        <w:rPr>
          <w:b/>
          <w:lang w:val="id-ID"/>
        </w:rPr>
      </w:pPr>
      <w:r w:rsidRPr="00012AE6">
        <w:rPr>
          <w:b/>
          <w:lang w:val="id-ID"/>
        </w:rPr>
        <w:t>SIMPULAN DAN SARAN</w:t>
      </w:r>
    </w:p>
    <w:p w14:paraId="2A73C2B1" w14:textId="2BB1AD74" w:rsidR="003A6E7F" w:rsidRPr="003A6E7F" w:rsidRDefault="003A6E7F" w:rsidP="003A6E7F">
      <w:pPr>
        <w:spacing w:line="276" w:lineRule="auto"/>
        <w:rPr>
          <w:b/>
        </w:rPr>
      </w:pPr>
      <w:proofErr w:type="spellStart"/>
      <w:r>
        <w:rPr>
          <w:b/>
        </w:rPr>
        <w:t>Simpulan</w:t>
      </w:r>
      <w:proofErr w:type="spellEnd"/>
    </w:p>
    <w:p w14:paraId="22D1A543" w14:textId="278F107B" w:rsidR="00202F80" w:rsidRDefault="00202F80" w:rsidP="003A6E7F">
      <w:pPr>
        <w:spacing w:line="276" w:lineRule="auto"/>
        <w:ind w:firstLine="426"/>
        <w:jc w:val="both"/>
        <w:rPr>
          <w:lang w:val="id-ID"/>
        </w:rPr>
      </w:pPr>
      <w:r>
        <w:rPr>
          <w:lang w:val="id-ID"/>
        </w:rPr>
        <w:t xml:space="preserve">Berdasarkan PBV dan PER, </w:t>
      </w:r>
      <w:r w:rsidRPr="00202F80">
        <w:rPr>
          <w:lang w:val="id-ID"/>
        </w:rPr>
        <w:t xml:space="preserve">INDF merupakan satu-satunya emiten yang masih berkategori undervalued. Dan jika dilihat dari segi fundamental INDF juga terbilang berfundamental baik. Sedangkan jika didasarkan pada PER terdapat dua emiten berkategori undervalued yaitu UNTR dan ASII. Kedua </w:t>
      </w:r>
      <w:r w:rsidRPr="00202F80">
        <w:rPr>
          <w:lang w:val="id-ID"/>
        </w:rPr>
        <w:lastRenderedPageBreak/>
        <w:t>emiten ini jika dilihat dari segi fundamental masih berada pada lima emiten dengan fundamental yang baik. Akan tetapi dalaam pengambilan keputusan investasi, investor juga harus melengkapi dengan prospek perusahaan di masa mendatang.</w:t>
      </w:r>
    </w:p>
    <w:p w14:paraId="45363577" w14:textId="77777777" w:rsidR="00202F80" w:rsidRPr="00202F80" w:rsidRDefault="00202F80" w:rsidP="00202F80">
      <w:pPr>
        <w:ind w:firstLine="426"/>
        <w:jc w:val="both"/>
        <w:rPr>
          <w:b/>
          <w:lang w:val="id-ID"/>
        </w:rPr>
      </w:pPr>
    </w:p>
    <w:p w14:paraId="6C656E13" w14:textId="614A61CD" w:rsidR="00012AE6" w:rsidRPr="003A6E7F" w:rsidRDefault="00012AE6" w:rsidP="003A6E7F">
      <w:pPr>
        <w:rPr>
          <w:b/>
          <w:lang w:val="id-ID"/>
        </w:rPr>
      </w:pPr>
      <w:r w:rsidRPr="003A6E7F">
        <w:rPr>
          <w:b/>
          <w:lang w:val="id-ID"/>
        </w:rPr>
        <w:t>Saran</w:t>
      </w:r>
    </w:p>
    <w:p w14:paraId="4BADF11E" w14:textId="6597AF4F" w:rsidR="00202F80" w:rsidRPr="00F04588" w:rsidRDefault="00202F80" w:rsidP="00F04588">
      <w:pPr>
        <w:ind w:firstLine="426"/>
        <w:jc w:val="both"/>
        <w:rPr>
          <w:lang w:val="id-ID"/>
        </w:rPr>
      </w:pPr>
      <w:r w:rsidRPr="00F04588">
        <w:rPr>
          <w:lang w:val="id-ID"/>
        </w:rPr>
        <w:t xml:space="preserve">Berinvestasi di Pasar Modal harus didasarkan pada tujuan berinvestasi terlebih dahulu. Untuk tujuan long term investment maka dividen menjadi salah satu hal yang perlu diperhatikan. Dalam memilih emiten investor dapat menggunakan analisis fundamental sebagai alat yang dapat dipergunakan, serta disarakan mempertimbangkan prospek emiten di masa mendatang. </w:t>
      </w:r>
      <w:r w:rsidR="00FB04D0">
        <w:rPr>
          <w:lang w:val="id-ID"/>
        </w:rPr>
        <w:t>P</w:t>
      </w:r>
      <w:r w:rsidR="00F04588" w:rsidRPr="00F04588">
        <w:rPr>
          <w:lang w:val="id-ID"/>
        </w:rPr>
        <w:t xml:space="preserve">eneliti selanjutnya dapat melengkapi beberapa pendekatan lain dalam pengambilan keputusan investasi. </w:t>
      </w:r>
    </w:p>
    <w:p w14:paraId="34FC1A68" w14:textId="77777777" w:rsidR="00F04588" w:rsidRPr="00202F80" w:rsidRDefault="00F04588" w:rsidP="00202F80">
      <w:pPr>
        <w:pStyle w:val="ListParagraph"/>
        <w:ind w:left="426"/>
        <w:rPr>
          <w:lang w:val="id-ID"/>
        </w:rPr>
      </w:pPr>
    </w:p>
    <w:p w14:paraId="6E5B4D4F" w14:textId="4AAC3B81" w:rsidR="005277F1" w:rsidRPr="00F04588" w:rsidRDefault="00012AE6" w:rsidP="00F4307A">
      <w:pPr>
        <w:pStyle w:val="Heading2"/>
        <w:numPr>
          <w:ilvl w:val="1"/>
          <w:numId w:val="2"/>
        </w:numPr>
        <w:tabs>
          <w:tab w:val="left" w:pos="0"/>
        </w:tabs>
        <w:suppressAutoHyphens/>
        <w:spacing w:before="0" w:after="120"/>
        <w:jc w:val="both"/>
        <w:rPr>
          <w:color w:val="000000"/>
          <w:szCs w:val="20"/>
          <w:lang w:val="id-ID"/>
        </w:rPr>
      </w:pPr>
      <w:r>
        <w:rPr>
          <w:color w:val="000000"/>
          <w:szCs w:val="20"/>
          <w:lang w:val="id-ID"/>
        </w:rPr>
        <w:t>DAFTAR PUSTAKA</w:t>
      </w:r>
      <w:r w:rsidR="005277F1" w:rsidRPr="00F04588">
        <w:rPr>
          <w:color w:val="000000"/>
          <w:szCs w:val="20"/>
          <w:lang w:val="id-ID"/>
        </w:rPr>
        <w:t xml:space="preserve"> </w:t>
      </w:r>
    </w:p>
    <w:p w14:paraId="4FC3B72E" w14:textId="31C01AC4" w:rsidR="00F04588" w:rsidRPr="00900B31" w:rsidRDefault="00F04588" w:rsidP="003A6E7F">
      <w:pPr>
        <w:autoSpaceDE w:val="0"/>
        <w:autoSpaceDN w:val="0"/>
        <w:adjustRightInd w:val="0"/>
        <w:ind w:left="426" w:hanging="426"/>
        <w:jc w:val="both"/>
        <w:rPr>
          <w:rFonts w:eastAsia="Calibri"/>
          <w:color w:val="000000"/>
          <w:szCs w:val="20"/>
        </w:rPr>
      </w:pPr>
      <w:proofErr w:type="spellStart"/>
      <w:proofErr w:type="gramStart"/>
      <w:r w:rsidRPr="00900B31">
        <w:rPr>
          <w:rFonts w:eastAsia="Calibri"/>
          <w:color w:val="000000"/>
          <w:szCs w:val="20"/>
        </w:rPr>
        <w:t>Abi</w:t>
      </w:r>
      <w:proofErr w:type="spellEnd"/>
      <w:r w:rsidRPr="00900B31">
        <w:rPr>
          <w:rFonts w:eastAsia="Calibri"/>
          <w:color w:val="000000"/>
          <w:szCs w:val="20"/>
        </w:rPr>
        <w:t>, F. (2016).</w:t>
      </w:r>
      <w:proofErr w:type="gramEnd"/>
      <w:r w:rsidRPr="00900B31">
        <w:rPr>
          <w:rFonts w:eastAsia="Calibri"/>
          <w:color w:val="000000"/>
          <w:szCs w:val="20"/>
        </w:rPr>
        <w:t xml:space="preserve"> </w:t>
      </w:r>
      <w:proofErr w:type="spellStart"/>
      <w:r w:rsidRPr="00900B31">
        <w:rPr>
          <w:rFonts w:eastAsia="Calibri"/>
          <w:color w:val="000000"/>
          <w:szCs w:val="20"/>
        </w:rPr>
        <w:t>Semakin</w:t>
      </w:r>
      <w:proofErr w:type="spellEnd"/>
      <w:r w:rsidRPr="00900B31">
        <w:rPr>
          <w:rFonts w:eastAsia="Calibri"/>
          <w:color w:val="000000"/>
          <w:szCs w:val="20"/>
        </w:rPr>
        <w:t xml:space="preserve"> </w:t>
      </w:r>
      <w:proofErr w:type="spellStart"/>
      <w:r w:rsidRPr="00900B31">
        <w:rPr>
          <w:rFonts w:eastAsia="Calibri"/>
          <w:color w:val="000000"/>
          <w:szCs w:val="20"/>
        </w:rPr>
        <w:t>Dekat</w:t>
      </w:r>
      <w:proofErr w:type="spellEnd"/>
      <w:r w:rsidRPr="00900B31">
        <w:rPr>
          <w:rFonts w:eastAsia="Calibri"/>
          <w:color w:val="000000"/>
          <w:szCs w:val="20"/>
        </w:rPr>
        <w:t xml:space="preserve"> </w:t>
      </w:r>
      <w:proofErr w:type="spellStart"/>
      <w:r w:rsidRPr="00900B31">
        <w:rPr>
          <w:rFonts w:eastAsia="Calibri"/>
          <w:color w:val="000000"/>
          <w:szCs w:val="20"/>
        </w:rPr>
        <w:t>dengan</w:t>
      </w:r>
      <w:proofErr w:type="spellEnd"/>
      <w:r w:rsidRPr="00900B31">
        <w:rPr>
          <w:rFonts w:eastAsia="Calibri"/>
          <w:color w:val="000000"/>
          <w:szCs w:val="20"/>
        </w:rPr>
        <w:t xml:space="preserve"> </w:t>
      </w:r>
      <w:proofErr w:type="spellStart"/>
      <w:r w:rsidRPr="00900B31">
        <w:rPr>
          <w:rFonts w:eastAsia="Calibri"/>
          <w:color w:val="000000"/>
          <w:szCs w:val="20"/>
        </w:rPr>
        <w:t>Pasar</w:t>
      </w:r>
      <w:proofErr w:type="spellEnd"/>
      <w:r w:rsidRPr="00900B31">
        <w:rPr>
          <w:rFonts w:eastAsia="Calibri"/>
          <w:color w:val="000000"/>
          <w:szCs w:val="20"/>
        </w:rPr>
        <w:t xml:space="preserve"> Modal Indonesia (DEEPUBLISH</w:t>
      </w:r>
      <w:r w:rsidR="00900B31" w:rsidRPr="00900B31">
        <w:rPr>
          <w:rFonts w:eastAsia="Calibri"/>
          <w:color w:val="000000"/>
          <w:szCs w:val="20"/>
          <w:lang w:val="id-ID"/>
        </w:rPr>
        <w:t xml:space="preserve"> </w:t>
      </w:r>
      <w:r w:rsidRPr="00900B31">
        <w:rPr>
          <w:rFonts w:eastAsia="Calibri"/>
          <w:color w:val="000000"/>
          <w:szCs w:val="20"/>
        </w:rPr>
        <w:t xml:space="preserve">(Ed.); 1st </w:t>
      </w:r>
      <w:proofErr w:type="gramStart"/>
      <w:r w:rsidRPr="00900B31">
        <w:rPr>
          <w:rFonts w:eastAsia="Calibri"/>
          <w:color w:val="000000"/>
          <w:szCs w:val="20"/>
        </w:rPr>
        <w:t>ed</w:t>
      </w:r>
      <w:proofErr w:type="gramEnd"/>
      <w:r w:rsidRPr="00900B31">
        <w:rPr>
          <w:rFonts w:eastAsia="Calibri"/>
          <w:color w:val="000000"/>
          <w:szCs w:val="20"/>
        </w:rPr>
        <w:t>.).</w:t>
      </w:r>
    </w:p>
    <w:p w14:paraId="0F42952F" w14:textId="0CEB4C73" w:rsidR="00900B31" w:rsidRPr="00900B31" w:rsidRDefault="00F04588" w:rsidP="003A6E7F">
      <w:pPr>
        <w:autoSpaceDE w:val="0"/>
        <w:autoSpaceDN w:val="0"/>
        <w:adjustRightInd w:val="0"/>
        <w:ind w:left="270" w:hanging="270"/>
        <w:jc w:val="both"/>
        <w:rPr>
          <w:rFonts w:eastAsia="Calibri"/>
          <w:color w:val="000000"/>
          <w:szCs w:val="20"/>
          <w:lang w:val="id-ID"/>
        </w:rPr>
      </w:pPr>
      <w:r w:rsidRPr="00900B31">
        <w:rPr>
          <w:rFonts w:eastAsia="Calibri"/>
          <w:color w:val="000000"/>
          <w:szCs w:val="20"/>
          <w:lang w:val="id-ID"/>
        </w:rPr>
        <w:t xml:space="preserve">Alfaruqi, F. I. (2022). </w:t>
      </w:r>
      <w:r w:rsidR="003A6E7F" w:rsidRPr="00900B31">
        <w:rPr>
          <w:rFonts w:eastAsia="Calibri"/>
          <w:color w:val="000000"/>
          <w:szCs w:val="20"/>
          <w:lang w:val="id-ID"/>
        </w:rPr>
        <w:t>Analisis Fundamental Dengan Pendekatan Discounted Cash Flow Pada Saham Emiten Bmri Dan Bbri Sebagai Dasar Keputusan Investasi</w:t>
      </w:r>
      <w:r w:rsidRPr="00900B31">
        <w:rPr>
          <w:rFonts w:eastAsia="Calibri"/>
          <w:color w:val="000000"/>
          <w:szCs w:val="20"/>
          <w:lang w:val="id-ID"/>
        </w:rPr>
        <w:t xml:space="preserve"> (Doctoral dissertation, Universitas Muhammadiyah Malang).</w:t>
      </w:r>
    </w:p>
    <w:p w14:paraId="7C6E2B86" w14:textId="3059AC5E" w:rsidR="00900B31" w:rsidRPr="00900B31" w:rsidRDefault="00F04588" w:rsidP="003A6E7F">
      <w:pPr>
        <w:autoSpaceDE w:val="0"/>
        <w:autoSpaceDN w:val="0"/>
        <w:adjustRightInd w:val="0"/>
        <w:ind w:left="270" w:hanging="270"/>
        <w:jc w:val="both"/>
        <w:rPr>
          <w:snapToGrid w:val="0"/>
          <w:color w:val="000000"/>
          <w:szCs w:val="20"/>
          <w:lang w:val="id-ID"/>
        </w:rPr>
      </w:pPr>
      <w:r w:rsidRPr="00900B31">
        <w:rPr>
          <w:snapToGrid w:val="0"/>
          <w:color w:val="000000"/>
          <w:szCs w:val="20"/>
          <w:lang w:val="id-ID"/>
        </w:rPr>
        <w:t>Amenda, J., Putri, C. C., &amp; Sihotang, L. (2022). Analisis Portofolio Sebagai Dasar Pengambilan Keputusan Investasi Saham yang Terdaftar pada Bursa Efek Indonesia. Journal Of Social Research, 1(6), 556-566.</w:t>
      </w:r>
    </w:p>
    <w:p w14:paraId="76DAF5F4" w14:textId="3AC0D49D" w:rsidR="00900B31" w:rsidRPr="00900B31" w:rsidRDefault="00DA09EB" w:rsidP="003A6E7F">
      <w:pPr>
        <w:autoSpaceDE w:val="0"/>
        <w:autoSpaceDN w:val="0"/>
        <w:adjustRightInd w:val="0"/>
        <w:ind w:left="270" w:hanging="270"/>
        <w:jc w:val="both"/>
        <w:rPr>
          <w:snapToGrid w:val="0"/>
          <w:color w:val="000000"/>
          <w:szCs w:val="20"/>
          <w:lang w:val="id-ID"/>
        </w:rPr>
      </w:pPr>
      <w:r w:rsidRPr="00900B31">
        <w:rPr>
          <w:snapToGrid w:val="0"/>
          <w:color w:val="000000"/>
          <w:szCs w:val="20"/>
          <w:lang w:val="id-ID"/>
        </w:rPr>
        <w:t xml:space="preserve">Karman, A., Jayanti, C. M. R., &amp; Firdaus, M. A. (2022). </w:t>
      </w:r>
      <w:r w:rsidR="003A6E7F" w:rsidRPr="00900B31">
        <w:rPr>
          <w:snapToGrid w:val="0"/>
          <w:color w:val="000000"/>
          <w:szCs w:val="20"/>
          <w:lang w:val="id-ID"/>
        </w:rPr>
        <w:t>Keputusan Investasi Saham Dengan Menggunakan Analisis Fundamental Melalui Pendekatan Price Earning Ratio</w:t>
      </w:r>
      <w:r w:rsidRPr="00900B31">
        <w:rPr>
          <w:snapToGrid w:val="0"/>
          <w:color w:val="000000"/>
          <w:szCs w:val="20"/>
          <w:lang w:val="id-ID"/>
        </w:rPr>
        <w:t xml:space="preserve"> (Perusahaan Terdaftar dalam Jakarta Islamic Index 2017-2018).</w:t>
      </w:r>
    </w:p>
    <w:p w14:paraId="0314AF7F" w14:textId="1875D988" w:rsidR="00900B31" w:rsidRPr="00900B31" w:rsidRDefault="00DA09EB" w:rsidP="003A6E7F">
      <w:pPr>
        <w:autoSpaceDE w:val="0"/>
        <w:autoSpaceDN w:val="0"/>
        <w:adjustRightInd w:val="0"/>
        <w:ind w:left="270" w:hanging="270"/>
        <w:jc w:val="both"/>
        <w:rPr>
          <w:rFonts w:eastAsia="Calibri"/>
          <w:color w:val="000000"/>
          <w:szCs w:val="20"/>
          <w:lang w:val="id-ID"/>
        </w:rPr>
      </w:pPr>
      <w:r w:rsidRPr="00900B31">
        <w:rPr>
          <w:snapToGrid w:val="0"/>
          <w:color w:val="000000"/>
          <w:szCs w:val="20"/>
          <w:lang w:val="id-ID"/>
        </w:rPr>
        <w:t xml:space="preserve">Movizar, R., &amp; Manurung, Y. A. P. (2022). </w:t>
      </w:r>
      <w:r w:rsidR="003A6E7F" w:rsidRPr="00900B31">
        <w:rPr>
          <w:snapToGrid w:val="0"/>
          <w:color w:val="000000"/>
          <w:szCs w:val="20"/>
          <w:lang w:val="id-ID"/>
        </w:rPr>
        <w:t>Analisis Faktor Fundamental Saham</w:t>
      </w:r>
      <w:r w:rsidRPr="00900B31">
        <w:rPr>
          <w:snapToGrid w:val="0"/>
          <w:color w:val="000000"/>
          <w:szCs w:val="20"/>
          <w:lang w:val="id-ID"/>
        </w:rPr>
        <w:t xml:space="preserve"> PT </w:t>
      </w:r>
      <w:r w:rsidR="003A6E7F" w:rsidRPr="00900B31">
        <w:rPr>
          <w:snapToGrid w:val="0"/>
          <w:color w:val="000000"/>
          <w:szCs w:val="20"/>
          <w:lang w:val="id-ID"/>
        </w:rPr>
        <w:t>Aneka Tamba</w:t>
      </w:r>
      <w:proofErr w:type="spellStart"/>
      <w:r w:rsidR="003A6E7F">
        <w:rPr>
          <w:snapToGrid w:val="0"/>
          <w:color w:val="000000"/>
          <w:szCs w:val="20"/>
        </w:rPr>
        <w:t>ng</w:t>
      </w:r>
      <w:proofErr w:type="spellEnd"/>
      <w:r w:rsidR="003A6E7F">
        <w:rPr>
          <w:snapToGrid w:val="0"/>
          <w:color w:val="000000"/>
          <w:szCs w:val="20"/>
        </w:rPr>
        <w:t xml:space="preserve"> </w:t>
      </w:r>
      <w:r w:rsidRPr="00900B31">
        <w:rPr>
          <w:snapToGrid w:val="0"/>
          <w:color w:val="000000"/>
          <w:szCs w:val="20"/>
          <w:lang w:val="id-ID"/>
        </w:rPr>
        <w:t>TBK. P</w:t>
      </w:r>
      <w:r w:rsidR="003A6E7F" w:rsidRPr="00900B31">
        <w:rPr>
          <w:snapToGrid w:val="0"/>
          <w:color w:val="000000"/>
          <w:szCs w:val="20"/>
          <w:lang w:val="id-ID"/>
        </w:rPr>
        <w:t>eriode</w:t>
      </w:r>
      <w:r w:rsidRPr="00900B31">
        <w:rPr>
          <w:snapToGrid w:val="0"/>
          <w:color w:val="000000"/>
          <w:szCs w:val="20"/>
          <w:lang w:val="id-ID"/>
        </w:rPr>
        <w:t xml:space="preserve"> 2016–2020. Jurnal Akuntansi dan Manajemen Bisnis, 2(2), 85-93.</w:t>
      </w:r>
    </w:p>
    <w:p w14:paraId="51E6FBAC" w14:textId="05622BAF" w:rsidR="00900B31" w:rsidRPr="00900B31" w:rsidRDefault="00DA09EB" w:rsidP="003A6E7F">
      <w:pPr>
        <w:autoSpaceDE w:val="0"/>
        <w:autoSpaceDN w:val="0"/>
        <w:adjustRightInd w:val="0"/>
        <w:ind w:left="270" w:hanging="270"/>
        <w:jc w:val="both"/>
        <w:rPr>
          <w:snapToGrid w:val="0"/>
          <w:color w:val="000000"/>
          <w:szCs w:val="20"/>
          <w:lang w:val="id-ID"/>
        </w:rPr>
      </w:pPr>
      <w:r w:rsidRPr="00900B31">
        <w:rPr>
          <w:snapToGrid w:val="0"/>
          <w:color w:val="000000"/>
          <w:szCs w:val="20"/>
          <w:lang w:val="id-ID"/>
        </w:rPr>
        <w:t xml:space="preserve">Nurhayati, N., Devi, Y., Saefurrohman, G. U., &amp; Ningsih, N. W. (2022). </w:t>
      </w:r>
      <w:r w:rsidR="003A6E7F" w:rsidRPr="00900B31">
        <w:rPr>
          <w:snapToGrid w:val="0"/>
          <w:color w:val="000000"/>
          <w:szCs w:val="20"/>
          <w:lang w:val="id-ID"/>
        </w:rPr>
        <w:t>Analisis Fundamental Dan Penilaian Saham Guna Keputusan Investasi (Studi Pada Perusahaan Yang Terdaftar Di Daftar Efek Syariah</w:t>
      </w:r>
      <w:r w:rsidRPr="00900B31">
        <w:rPr>
          <w:snapToGrid w:val="0"/>
          <w:color w:val="000000"/>
          <w:szCs w:val="20"/>
          <w:lang w:val="id-ID"/>
        </w:rPr>
        <w:t xml:space="preserve"> (DES) </w:t>
      </w:r>
      <w:r w:rsidR="003A6E7F" w:rsidRPr="00900B31">
        <w:rPr>
          <w:snapToGrid w:val="0"/>
          <w:color w:val="000000"/>
          <w:szCs w:val="20"/>
          <w:lang w:val="id-ID"/>
        </w:rPr>
        <w:t>Periode</w:t>
      </w:r>
      <w:r w:rsidRPr="00900B31">
        <w:rPr>
          <w:snapToGrid w:val="0"/>
          <w:color w:val="000000"/>
          <w:szCs w:val="20"/>
          <w:lang w:val="id-ID"/>
        </w:rPr>
        <w:t xml:space="preserve"> 2017-2019). Jurnal Akuntansi dan Pajak, 23(1).</w:t>
      </w:r>
    </w:p>
    <w:p w14:paraId="1D969D29" w14:textId="611BD8D3" w:rsidR="00900B31" w:rsidRPr="00900B31" w:rsidRDefault="00DA09EB" w:rsidP="003A6E7F">
      <w:pPr>
        <w:autoSpaceDE w:val="0"/>
        <w:autoSpaceDN w:val="0"/>
        <w:adjustRightInd w:val="0"/>
        <w:ind w:left="270" w:hanging="270"/>
        <w:jc w:val="both"/>
        <w:rPr>
          <w:rFonts w:eastAsia="Calibri"/>
          <w:color w:val="000000"/>
          <w:szCs w:val="20"/>
          <w:lang w:val="id-ID"/>
        </w:rPr>
      </w:pPr>
      <w:r w:rsidRPr="00900B31">
        <w:rPr>
          <w:snapToGrid w:val="0"/>
          <w:color w:val="000000"/>
          <w:szCs w:val="20"/>
          <w:lang w:val="id-ID"/>
        </w:rPr>
        <w:t>Peranginangin, A. M. (2021). P</w:t>
      </w:r>
      <w:r w:rsidR="003A6E7F" w:rsidRPr="00900B31">
        <w:rPr>
          <w:snapToGrid w:val="0"/>
          <w:color w:val="000000"/>
          <w:szCs w:val="20"/>
          <w:lang w:val="id-ID"/>
        </w:rPr>
        <w:t xml:space="preserve">engambilan Keputusan Investasi Saham Dengan Analisis Fundamental Melalui Pendekatan Price Earning Ratio </w:t>
      </w:r>
      <w:r w:rsidRPr="00900B31">
        <w:rPr>
          <w:snapToGrid w:val="0"/>
          <w:color w:val="000000"/>
          <w:szCs w:val="20"/>
          <w:lang w:val="id-ID"/>
        </w:rPr>
        <w:t>(PER)</w:t>
      </w:r>
      <w:r w:rsidR="003A6E7F">
        <w:rPr>
          <w:snapToGrid w:val="0"/>
          <w:color w:val="000000"/>
          <w:szCs w:val="20"/>
        </w:rPr>
        <w:t xml:space="preserve"> </w:t>
      </w:r>
      <w:r w:rsidR="003A6E7F" w:rsidRPr="00900B31">
        <w:rPr>
          <w:snapToGrid w:val="0"/>
          <w:color w:val="000000"/>
          <w:szCs w:val="20"/>
          <w:lang w:val="id-ID"/>
        </w:rPr>
        <w:t xml:space="preserve">(Studi Pada Saham-Saham Perusahaan Yang Terdaftar Di Indeks </w:t>
      </w:r>
      <w:r w:rsidRPr="00900B31">
        <w:rPr>
          <w:snapToGrid w:val="0"/>
          <w:color w:val="000000"/>
          <w:szCs w:val="20"/>
          <w:lang w:val="id-ID"/>
        </w:rPr>
        <w:t xml:space="preserve">LQ45 </w:t>
      </w:r>
      <w:r w:rsidR="003A6E7F" w:rsidRPr="00900B31">
        <w:rPr>
          <w:snapToGrid w:val="0"/>
          <w:color w:val="000000"/>
          <w:szCs w:val="20"/>
          <w:lang w:val="id-ID"/>
        </w:rPr>
        <w:t>Periode</w:t>
      </w:r>
      <w:r w:rsidRPr="00900B31">
        <w:rPr>
          <w:snapToGrid w:val="0"/>
          <w:color w:val="000000"/>
          <w:szCs w:val="20"/>
          <w:lang w:val="id-ID"/>
        </w:rPr>
        <w:t xml:space="preserve"> 2016-2018. Jurakunman (Jurnal Akuntansi dan Manajemen), 14(2), 91-110.</w:t>
      </w:r>
    </w:p>
    <w:p w14:paraId="000FC3FB" w14:textId="50126D11" w:rsidR="00900B31" w:rsidRPr="00900B31" w:rsidRDefault="00DA09EB" w:rsidP="003A6E7F">
      <w:pPr>
        <w:autoSpaceDE w:val="0"/>
        <w:autoSpaceDN w:val="0"/>
        <w:adjustRightInd w:val="0"/>
        <w:ind w:left="270" w:hanging="270"/>
        <w:jc w:val="both"/>
        <w:rPr>
          <w:rFonts w:eastAsia="Calibri"/>
          <w:color w:val="000000"/>
          <w:szCs w:val="20"/>
          <w:lang w:val="id-ID"/>
        </w:rPr>
      </w:pPr>
      <w:r w:rsidRPr="00900B31">
        <w:rPr>
          <w:snapToGrid w:val="0"/>
          <w:color w:val="000000"/>
          <w:szCs w:val="20"/>
          <w:lang w:val="id-ID"/>
        </w:rPr>
        <w:t>Tambunan, D. (2020). Investasi saham di masa pandemi COVID-19. Widya Cipta: Jurnal Sekretari Dan Manajemen, 4(2), 117-123.</w:t>
      </w:r>
    </w:p>
    <w:p w14:paraId="3B96B0B9" w14:textId="69BFB703" w:rsidR="00900B31" w:rsidRPr="00900B31" w:rsidRDefault="00DA09EB" w:rsidP="003A6E7F">
      <w:pPr>
        <w:autoSpaceDE w:val="0"/>
        <w:autoSpaceDN w:val="0"/>
        <w:adjustRightInd w:val="0"/>
        <w:ind w:left="270" w:hanging="270"/>
        <w:jc w:val="both"/>
        <w:rPr>
          <w:rFonts w:eastAsia="Calibri"/>
          <w:color w:val="000000"/>
          <w:szCs w:val="20"/>
          <w:lang w:val="id-ID"/>
        </w:rPr>
      </w:pPr>
      <w:proofErr w:type="spellStart"/>
      <w:r w:rsidRPr="00DA09EB">
        <w:rPr>
          <w:rFonts w:eastAsia="Calibri"/>
          <w:color w:val="000000"/>
          <w:szCs w:val="20"/>
        </w:rPr>
        <w:t>Utomo</w:t>
      </w:r>
      <w:proofErr w:type="spellEnd"/>
      <w:r w:rsidRPr="00DA09EB">
        <w:rPr>
          <w:rFonts w:eastAsia="Calibri"/>
          <w:color w:val="000000"/>
          <w:szCs w:val="20"/>
        </w:rPr>
        <w:t xml:space="preserve">, Y. (2022). </w:t>
      </w:r>
      <w:proofErr w:type="spellStart"/>
      <w:r w:rsidR="003A6E7F" w:rsidRPr="00DA09EB">
        <w:rPr>
          <w:rFonts w:eastAsia="Calibri"/>
          <w:color w:val="000000"/>
          <w:szCs w:val="20"/>
        </w:rPr>
        <w:t>Penerapan</w:t>
      </w:r>
      <w:proofErr w:type="spellEnd"/>
      <w:r w:rsidR="003A6E7F" w:rsidRPr="00DA09EB">
        <w:rPr>
          <w:rFonts w:eastAsia="Calibri"/>
          <w:color w:val="000000"/>
          <w:szCs w:val="20"/>
        </w:rPr>
        <w:t xml:space="preserve"> Dividend Discounted Model </w:t>
      </w:r>
      <w:proofErr w:type="spellStart"/>
      <w:r w:rsidR="003A6E7F" w:rsidRPr="00DA09EB">
        <w:rPr>
          <w:rFonts w:eastAsia="Calibri"/>
          <w:color w:val="000000"/>
          <w:szCs w:val="20"/>
        </w:rPr>
        <w:t>Dalam</w:t>
      </w:r>
      <w:proofErr w:type="spellEnd"/>
      <w:r w:rsidR="003A6E7F" w:rsidRPr="00DA09EB">
        <w:rPr>
          <w:rFonts w:eastAsia="Calibri"/>
          <w:color w:val="000000"/>
          <w:szCs w:val="20"/>
        </w:rPr>
        <w:t xml:space="preserve"> </w:t>
      </w:r>
      <w:proofErr w:type="spellStart"/>
      <w:r w:rsidR="003A6E7F" w:rsidRPr="00DA09EB">
        <w:rPr>
          <w:rFonts w:eastAsia="Calibri"/>
          <w:color w:val="000000"/>
          <w:szCs w:val="20"/>
        </w:rPr>
        <w:t>Valuasi</w:t>
      </w:r>
      <w:proofErr w:type="spellEnd"/>
      <w:r w:rsidR="003A6E7F" w:rsidRPr="00DA09EB">
        <w:rPr>
          <w:rFonts w:eastAsia="Calibri"/>
          <w:color w:val="000000"/>
          <w:szCs w:val="20"/>
        </w:rPr>
        <w:t xml:space="preserve"> </w:t>
      </w:r>
      <w:proofErr w:type="spellStart"/>
      <w:r w:rsidR="003A6E7F" w:rsidRPr="00DA09EB">
        <w:rPr>
          <w:rFonts w:eastAsia="Calibri"/>
          <w:color w:val="000000"/>
          <w:szCs w:val="20"/>
        </w:rPr>
        <w:t>Harga</w:t>
      </w:r>
      <w:proofErr w:type="spellEnd"/>
      <w:r w:rsidR="003A6E7F" w:rsidRPr="00DA09EB">
        <w:rPr>
          <w:rFonts w:eastAsia="Calibri"/>
          <w:color w:val="000000"/>
          <w:szCs w:val="20"/>
        </w:rPr>
        <w:t xml:space="preserve"> </w:t>
      </w:r>
      <w:proofErr w:type="spellStart"/>
      <w:r w:rsidR="003A6E7F" w:rsidRPr="00DA09EB">
        <w:rPr>
          <w:rFonts w:eastAsia="Calibri"/>
          <w:color w:val="000000"/>
          <w:szCs w:val="20"/>
        </w:rPr>
        <w:t>Saham</w:t>
      </w:r>
      <w:proofErr w:type="spellEnd"/>
      <w:r w:rsidR="003A6E7F" w:rsidRPr="00DA09EB">
        <w:rPr>
          <w:rFonts w:eastAsia="Calibri"/>
          <w:color w:val="000000"/>
          <w:szCs w:val="20"/>
        </w:rPr>
        <w:t xml:space="preserve"> </w:t>
      </w:r>
      <w:proofErr w:type="spellStart"/>
      <w:r w:rsidR="003A6E7F" w:rsidRPr="00DA09EB">
        <w:rPr>
          <w:rFonts w:eastAsia="Calibri"/>
          <w:color w:val="000000"/>
          <w:szCs w:val="20"/>
        </w:rPr>
        <w:t>Sebagai</w:t>
      </w:r>
      <w:proofErr w:type="spellEnd"/>
      <w:r w:rsidR="003A6E7F" w:rsidRPr="00DA09EB">
        <w:rPr>
          <w:rFonts w:eastAsia="Calibri"/>
          <w:color w:val="000000"/>
          <w:szCs w:val="20"/>
        </w:rPr>
        <w:t xml:space="preserve"> </w:t>
      </w:r>
      <w:proofErr w:type="spellStart"/>
      <w:r w:rsidR="003A6E7F" w:rsidRPr="00DA09EB">
        <w:rPr>
          <w:rFonts w:eastAsia="Calibri"/>
          <w:color w:val="000000"/>
          <w:szCs w:val="20"/>
        </w:rPr>
        <w:t>Dasar</w:t>
      </w:r>
      <w:proofErr w:type="spellEnd"/>
      <w:r w:rsidR="003A6E7F" w:rsidRPr="00DA09EB">
        <w:rPr>
          <w:rFonts w:eastAsia="Calibri"/>
          <w:color w:val="000000"/>
          <w:szCs w:val="20"/>
        </w:rPr>
        <w:t xml:space="preserve"> </w:t>
      </w:r>
      <w:proofErr w:type="spellStart"/>
      <w:r w:rsidR="003A6E7F" w:rsidRPr="00DA09EB">
        <w:rPr>
          <w:rFonts w:eastAsia="Calibri"/>
          <w:color w:val="000000"/>
          <w:szCs w:val="20"/>
        </w:rPr>
        <w:t>Pengambilan</w:t>
      </w:r>
      <w:proofErr w:type="spellEnd"/>
      <w:r w:rsidR="003A6E7F" w:rsidRPr="00DA09EB">
        <w:rPr>
          <w:rFonts w:eastAsia="Calibri"/>
          <w:color w:val="000000"/>
          <w:szCs w:val="20"/>
        </w:rPr>
        <w:t xml:space="preserve"> </w:t>
      </w:r>
      <w:proofErr w:type="spellStart"/>
      <w:r w:rsidR="003A6E7F" w:rsidRPr="00DA09EB">
        <w:rPr>
          <w:rFonts w:eastAsia="Calibri"/>
          <w:color w:val="000000"/>
          <w:szCs w:val="20"/>
        </w:rPr>
        <w:t>Keputusan</w:t>
      </w:r>
      <w:proofErr w:type="spellEnd"/>
      <w:r w:rsidR="003A6E7F" w:rsidRPr="00DA09EB">
        <w:rPr>
          <w:rFonts w:eastAsia="Calibri"/>
          <w:color w:val="000000"/>
          <w:szCs w:val="20"/>
        </w:rPr>
        <w:t xml:space="preserve"> </w:t>
      </w:r>
      <w:proofErr w:type="spellStart"/>
      <w:r w:rsidR="003A6E7F" w:rsidRPr="00DA09EB">
        <w:rPr>
          <w:rFonts w:eastAsia="Calibri"/>
          <w:color w:val="000000"/>
          <w:szCs w:val="20"/>
        </w:rPr>
        <w:t>Investasi</w:t>
      </w:r>
      <w:proofErr w:type="spellEnd"/>
      <w:r w:rsidRPr="00DA09EB">
        <w:rPr>
          <w:rFonts w:eastAsia="Calibri"/>
          <w:color w:val="000000"/>
          <w:szCs w:val="20"/>
        </w:rPr>
        <w:t xml:space="preserve">. </w:t>
      </w:r>
      <w:proofErr w:type="spellStart"/>
      <w:r w:rsidRPr="00DA09EB">
        <w:rPr>
          <w:rFonts w:eastAsia="Calibri"/>
          <w:color w:val="000000"/>
          <w:szCs w:val="20"/>
        </w:rPr>
        <w:t>Universitas</w:t>
      </w:r>
      <w:proofErr w:type="spellEnd"/>
      <w:r w:rsidRPr="00DA09EB">
        <w:rPr>
          <w:rFonts w:eastAsia="Calibri"/>
          <w:color w:val="000000"/>
          <w:szCs w:val="20"/>
        </w:rPr>
        <w:t xml:space="preserve"> Gajah </w:t>
      </w:r>
      <w:proofErr w:type="spellStart"/>
      <w:r w:rsidRPr="00DA09EB">
        <w:rPr>
          <w:rFonts w:eastAsia="Calibri"/>
          <w:color w:val="000000"/>
          <w:szCs w:val="20"/>
        </w:rPr>
        <w:t>Mada</w:t>
      </w:r>
      <w:proofErr w:type="spellEnd"/>
      <w:r w:rsidRPr="00DA09EB">
        <w:rPr>
          <w:rFonts w:eastAsia="Calibri"/>
          <w:color w:val="000000"/>
          <w:szCs w:val="20"/>
        </w:rPr>
        <w:t>.</w:t>
      </w:r>
    </w:p>
    <w:p w14:paraId="1587D50F" w14:textId="3FCB591C" w:rsidR="00DA09EB" w:rsidRDefault="00DA09EB" w:rsidP="003A6E7F">
      <w:pPr>
        <w:autoSpaceDE w:val="0"/>
        <w:autoSpaceDN w:val="0"/>
        <w:adjustRightInd w:val="0"/>
        <w:ind w:left="270" w:hanging="270"/>
        <w:jc w:val="both"/>
        <w:rPr>
          <w:rFonts w:eastAsia="Calibri"/>
          <w:color w:val="000000"/>
          <w:szCs w:val="20"/>
          <w:lang w:val="id-ID"/>
        </w:rPr>
      </w:pPr>
      <w:r w:rsidRPr="00900B31">
        <w:rPr>
          <w:snapToGrid w:val="0"/>
          <w:color w:val="000000"/>
          <w:szCs w:val="20"/>
          <w:lang w:val="id-ID"/>
        </w:rPr>
        <w:t>Website Bursa Efek Indonesia : www.idx.co.id</w:t>
      </w:r>
      <w:r>
        <w:rPr>
          <w:snapToGrid w:val="0"/>
          <w:color w:val="000000"/>
          <w:szCs w:val="20"/>
          <w:lang w:val="id-ID"/>
        </w:rPr>
        <w:t>.</w:t>
      </w:r>
    </w:p>
    <w:bookmarkEnd w:id="0"/>
    <w:p w14:paraId="387B08A8" w14:textId="17E9B88B" w:rsidR="00E82D0C" w:rsidRPr="00DA09EB" w:rsidRDefault="00E82D0C" w:rsidP="00900B31">
      <w:pPr>
        <w:autoSpaceDE w:val="0"/>
        <w:autoSpaceDN w:val="0"/>
        <w:adjustRightInd w:val="0"/>
        <w:spacing w:after="240"/>
        <w:ind w:left="270" w:hanging="270"/>
        <w:jc w:val="both"/>
        <w:rPr>
          <w:rFonts w:eastAsia="Calibri"/>
          <w:color w:val="000000"/>
          <w:szCs w:val="20"/>
          <w:lang w:val="id-ID"/>
        </w:rPr>
      </w:pPr>
    </w:p>
    <w:sectPr w:rsidR="00E82D0C" w:rsidRPr="00DA09EB" w:rsidSect="005809BD">
      <w:headerReference w:type="even" r:id="rId10"/>
      <w:headerReference w:type="default" r:id="rId11"/>
      <w:footerReference w:type="even" r:id="rId12"/>
      <w:footerReference w:type="default" r:id="rId13"/>
      <w:headerReference w:type="first" r:id="rId14"/>
      <w:footerReference w:type="first" r:id="rId15"/>
      <w:type w:val="oddPage"/>
      <w:pgSz w:w="11909" w:h="16834" w:code="9"/>
      <w:pgMar w:top="2268" w:right="1701" w:bottom="1701" w:left="1701" w:header="1134" w:footer="1021"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F4219" w14:textId="77777777" w:rsidR="00EB727A" w:rsidRDefault="00EB727A">
      <w:r>
        <w:separator/>
      </w:r>
    </w:p>
  </w:endnote>
  <w:endnote w:type="continuationSeparator" w:id="0">
    <w:p w14:paraId="21A4D905" w14:textId="77777777" w:rsidR="00EB727A" w:rsidRDefault="00EB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8"/>
      </w:rPr>
      <w:id w:val="93067455"/>
      <w:docPartObj>
        <w:docPartGallery w:val="Page Numbers (Bottom of Page)"/>
        <w:docPartUnique/>
      </w:docPartObj>
    </w:sdtPr>
    <w:sdtEndPr>
      <w:rPr>
        <w:color w:val="7F7F7F" w:themeColor="background1" w:themeShade="7F"/>
        <w:spacing w:val="60"/>
        <w:sz w:val="20"/>
        <w:szCs w:val="24"/>
      </w:rPr>
    </w:sdtEndPr>
    <w:sdtContent>
      <w:p w14:paraId="055B46DC" w14:textId="5AA49AD3" w:rsidR="00F337F6" w:rsidRPr="00C10BFF" w:rsidRDefault="00F337F6" w:rsidP="00263997">
        <w:pPr>
          <w:pStyle w:val="Footer"/>
          <w:pBdr>
            <w:top w:val="single" w:sz="4" w:space="1" w:color="D9D9D9" w:themeColor="background1" w:themeShade="D9"/>
          </w:pBdr>
          <w:rPr>
            <w:sz w:val="22"/>
            <w:szCs w:val="28"/>
          </w:rPr>
        </w:pPr>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4F0A7D">
          <w:rPr>
            <w:b/>
            <w:bCs/>
            <w:noProof/>
            <w:sz w:val="22"/>
            <w:szCs w:val="28"/>
          </w:rPr>
          <w:t>4</w:t>
        </w:r>
        <w:r w:rsidRPr="00C10BFF">
          <w:rPr>
            <w:b/>
            <w:bCs/>
            <w:noProof/>
            <w:sz w:val="22"/>
            <w:szCs w:val="28"/>
          </w:rPr>
          <w:fldChar w:fldCharType="end"/>
        </w:r>
        <w:r w:rsidRPr="00C10BFF">
          <w:rPr>
            <w:b/>
            <w:bCs/>
            <w:sz w:val="22"/>
            <w:szCs w:val="28"/>
          </w:rPr>
          <w:t xml:space="preserve"> | </w:t>
        </w:r>
        <w:proofErr w:type="spellStart"/>
        <w:r w:rsidR="00E726B2" w:rsidRPr="00C10BFF">
          <w:rPr>
            <w:sz w:val="22"/>
            <w:szCs w:val="28"/>
          </w:rPr>
          <w:t>Penulis</w:t>
        </w:r>
        <w:proofErr w:type="spellEnd"/>
        <w:r w:rsidR="00E726B2" w:rsidRPr="00C10BFF">
          <w:rPr>
            <w:sz w:val="22"/>
            <w:szCs w:val="28"/>
          </w:rPr>
          <w:t xml:space="preserve"> </w:t>
        </w:r>
        <w:proofErr w:type="spellStart"/>
        <w:proofErr w:type="gramStart"/>
        <w:r w:rsidR="00E726B2" w:rsidRPr="00C10BFF">
          <w:rPr>
            <w:sz w:val="22"/>
            <w:szCs w:val="28"/>
          </w:rPr>
          <w:t>utama</w:t>
        </w:r>
        <w:proofErr w:type="spellEnd"/>
        <w:r w:rsidR="00E726B2" w:rsidRPr="00C10BFF">
          <w:rPr>
            <w:sz w:val="22"/>
            <w:szCs w:val="28"/>
          </w:rPr>
          <w:t xml:space="preserve"> :</w:t>
        </w:r>
        <w:proofErr w:type="gramEnd"/>
        <w:r w:rsidR="00E726B2" w:rsidRPr="00C10BFF">
          <w:rPr>
            <w:sz w:val="22"/>
            <w:szCs w:val="28"/>
          </w:rPr>
          <w:t xml:space="preserve"> </w:t>
        </w:r>
        <w:r w:rsidR="00E726B2" w:rsidRPr="00E726B2">
          <w:rPr>
            <w:i/>
            <w:sz w:val="22"/>
            <w:szCs w:val="28"/>
            <w:lang w:val="id-ID"/>
          </w:rPr>
          <w:t>nisful.laili</w:t>
        </w:r>
        <w:r w:rsidR="00E726B2" w:rsidRPr="00E726B2">
          <w:rPr>
            <w:i/>
            <w:sz w:val="22"/>
            <w:szCs w:val="28"/>
          </w:rPr>
          <w:t>@gmail.com</w:t>
        </w:r>
      </w:p>
      <w:p w14:paraId="3ABBB8C0" w14:textId="7401D528" w:rsidR="00F337F6" w:rsidRPr="00263997" w:rsidRDefault="00EB727A" w:rsidP="00263997">
        <w:pPr>
          <w:pStyle w:val="Footer"/>
          <w:pBdr>
            <w:top w:val="single" w:sz="4" w:space="1" w:color="D9D9D9" w:themeColor="background1" w:themeShade="D9"/>
          </w:pBdr>
          <w:rPr>
            <w:b/>
            <w:bCs/>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5E950" w14:textId="27AB40EE" w:rsidR="00F337F6" w:rsidRPr="00C10BFF" w:rsidRDefault="00F337F6" w:rsidP="009E1059">
    <w:pPr>
      <w:pStyle w:val="Footer"/>
      <w:pBdr>
        <w:top w:val="single" w:sz="4" w:space="1" w:color="D9D9D9" w:themeColor="background1" w:themeShade="D9"/>
      </w:pBdr>
      <w:jc w:val="right"/>
      <w:rPr>
        <w:sz w:val="22"/>
        <w:szCs w:val="28"/>
      </w:rPr>
    </w:pPr>
    <w:r w:rsidRPr="00C10BFF">
      <w:rPr>
        <w:sz w:val="22"/>
        <w:szCs w:val="28"/>
      </w:rPr>
      <w:t xml:space="preserve">    </w:t>
    </w:r>
    <w:proofErr w:type="spellStart"/>
    <w:r w:rsidRPr="00C10BFF">
      <w:rPr>
        <w:sz w:val="22"/>
        <w:szCs w:val="28"/>
      </w:rPr>
      <w:t>Penulis</w:t>
    </w:r>
    <w:proofErr w:type="spellEnd"/>
    <w:r w:rsidRPr="00C10BFF">
      <w:rPr>
        <w:sz w:val="22"/>
        <w:szCs w:val="28"/>
      </w:rPr>
      <w:t xml:space="preserve"> </w:t>
    </w:r>
    <w:proofErr w:type="spellStart"/>
    <w:proofErr w:type="gramStart"/>
    <w:r w:rsidRPr="00C10BFF">
      <w:rPr>
        <w:sz w:val="22"/>
        <w:szCs w:val="28"/>
      </w:rPr>
      <w:t>utama</w:t>
    </w:r>
    <w:proofErr w:type="spellEnd"/>
    <w:r w:rsidRPr="00C10BFF">
      <w:rPr>
        <w:sz w:val="22"/>
        <w:szCs w:val="28"/>
      </w:rPr>
      <w:t xml:space="preserve"> :</w:t>
    </w:r>
    <w:proofErr w:type="gramEnd"/>
    <w:r w:rsidRPr="00C10BFF">
      <w:rPr>
        <w:sz w:val="22"/>
        <w:szCs w:val="28"/>
      </w:rPr>
      <w:t xml:space="preserve"> </w:t>
    </w:r>
    <w:r w:rsidR="00E726B2" w:rsidRPr="00E726B2">
      <w:rPr>
        <w:i/>
        <w:sz w:val="22"/>
        <w:szCs w:val="28"/>
        <w:lang w:val="id-ID"/>
      </w:rPr>
      <w:t>nisful.laili</w:t>
    </w:r>
    <w:r w:rsidR="00E726B2" w:rsidRPr="00E726B2">
      <w:rPr>
        <w:i/>
        <w:sz w:val="22"/>
        <w:szCs w:val="28"/>
      </w:rPr>
      <w:t>@gmail.com</w:t>
    </w:r>
    <w:r w:rsidRPr="00C10BFF">
      <w:rPr>
        <w:sz w:val="22"/>
        <w:szCs w:val="28"/>
      </w:rPr>
      <w:t xml:space="preserve"> </w:t>
    </w:r>
    <w:r w:rsidRPr="00C10BFF">
      <w:rPr>
        <w:b/>
        <w:bCs/>
        <w:sz w:val="22"/>
        <w:szCs w:val="28"/>
      </w:rPr>
      <w:t xml:space="preserve">|  </w:t>
    </w:r>
    <w:sdt>
      <w:sdtPr>
        <w:rPr>
          <w:b/>
          <w:bCs/>
          <w:sz w:val="22"/>
          <w:szCs w:val="28"/>
        </w:rPr>
        <w:id w:val="-1686358345"/>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4F0A7D" w:rsidRPr="004F0A7D">
          <w:rPr>
            <w:b/>
            <w:bCs/>
            <w:noProof/>
            <w:szCs w:val="28"/>
          </w:rPr>
          <w:t>3</w:t>
        </w:r>
        <w:r w:rsidRPr="00C10BFF">
          <w:rPr>
            <w:b/>
            <w:bCs/>
            <w:noProof/>
            <w:sz w:val="22"/>
            <w:szCs w:val="28"/>
          </w:rPr>
          <w:fldChar w:fldCharType="end"/>
        </w:r>
      </w:sdtContent>
    </w:sdt>
  </w:p>
  <w:p w14:paraId="50B45FCD" w14:textId="77777777" w:rsidR="00F337F6" w:rsidRDefault="00F337F6" w:rsidP="009E10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64EA7" w14:textId="247E11AF" w:rsidR="00F337F6" w:rsidRPr="00C10BFF" w:rsidRDefault="00E726B2" w:rsidP="00E726B2">
    <w:pPr>
      <w:pStyle w:val="Footer"/>
      <w:pBdr>
        <w:top w:val="single" w:sz="4" w:space="1" w:color="D9D9D9" w:themeColor="background1" w:themeShade="D9"/>
      </w:pBdr>
      <w:jc w:val="right"/>
      <w:rPr>
        <w:sz w:val="22"/>
        <w:szCs w:val="28"/>
      </w:rPr>
    </w:pPr>
    <w:r w:rsidRPr="00C10BFF">
      <w:rPr>
        <w:sz w:val="22"/>
        <w:szCs w:val="28"/>
      </w:rPr>
      <w:t xml:space="preserve">    </w:t>
    </w:r>
    <w:proofErr w:type="spellStart"/>
    <w:r w:rsidRPr="00C10BFF">
      <w:rPr>
        <w:sz w:val="22"/>
        <w:szCs w:val="28"/>
      </w:rPr>
      <w:t>Penulis</w:t>
    </w:r>
    <w:proofErr w:type="spellEnd"/>
    <w:r w:rsidRPr="00C10BFF">
      <w:rPr>
        <w:sz w:val="22"/>
        <w:szCs w:val="28"/>
      </w:rPr>
      <w:t xml:space="preserve"> </w:t>
    </w:r>
    <w:proofErr w:type="spellStart"/>
    <w:proofErr w:type="gramStart"/>
    <w:r w:rsidRPr="00C10BFF">
      <w:rPr>
        <w:sz w:val="22"/>
        <w:szCs w:val="28"/>
      </w:rPr>
      <w:t>utama</w:t>
    </w:r>
    <w:proofErr w:type="spellEnd"/>
    <w:r w:rsidRPr="00C10BFF">
      <w:rPr>
        <w:sz w:val="22"/>
        <w:szCs w:val="28"/>
      </w:rPr>
      <w:t xml:space="preserve"> :</w:t>
    </w:r>
    <w:proofErr w:type="gramEnd"/>
    <w:r w:rsidRPr="00C10BFF">
      <w:rPr>
        <w:sz w:val="22"/>
        <w:szCs w:val="28"/>
      </w:rPr>
      <w:t xml:space="preserve"> </w:t>
    </w:r>
    <w:r w:rsidRPr="008A59F0">
      <w:rPr>
        <w:i/>
        <w:sz w:val="22"/>
        <w:szCs w:val="28"/>
        <w:lang w:val="id-ID"/>
      </w:rPr>
      <w:t>nisfu</w:t>
    </w:r>
    <w:r>
      <w:rPr>
        <w:i/>
        <w:sz w:val="22"/>
        <w:szCs w:val="28"/>
        <w:lang w:val="id-ID"/>
      </w:rPr>
      <w:t>l</w:t>
    </w:r>
    <w:r w:rsidRPr="008A59F0">
      <w:rPr>
        <w:i/>
        <w:sz w:val="22"/>
        <w:szCs w:val="28"/>
        <w:lang w:val="id-ID"/>
      </w:rPr>
      <w:t>.laili</w:t>
    </w:r>
    <w:r>
      <w:rPr>
        <w:i/>
        <w:sz w:val="22"/>
        <w:szCs w:val="28"/>
      </w:rPr>
      <w:t>@gmail.co</w:t>
    </w:r>
    <w:r>
      <w:rPr>
        <w:i/>
        <w:sz w:val="22"/>
        <w:szCs w:val="28"/>
        <w:lang w:val="id-ID"/>
      </w:rPr>
      <w:t>m</w:t>
    </w:r>
    <w:r w:rsidR="00F337F6" w:rsidRPr="00C10BFF">
      <w:rPr>
        <w:sz w:val="22"/>
        <w:szCs w:val="28"/>
      </w:rPr>
      <w:t xml:space="preserve">  </w:t>
    </w:r>
    <w:r w:rsidR="00F337F6" w:rsidRPr="00C10BFF">
      <w:rPr>
        <w:b/>
        <w:bCs/>
        <w:sz w:val="22"/>
        <w:szCs w:val="28"/>
      </w:rPr>
      <w:t xml:space="preserve">|  </w:t>
    </w:r>
    <w:sdt>
      <w:sdtPr>
        <w:rPr>
          <w:b/>
          <w:bCs/>
          <w:sz w:val="22"/>
          <w:szCs w:val="28"/>
        </w:rPr>
        <w:id w:val="-644121958"/>
        <w:docPartObj>
          <w:docPartGallery w:val="Page Numbers (Bottom of Page)"/>
          <w:docPartUnique/>
        </w:docPartObj>
      </w:sdtPr>
      <w:sdtEndPr>
        <w:rPr>
          <w:color w:val="7F7F7F" w:themeColor="background1" w:themeShade="7F"/>
          <w:spacing w:val="60"/>
        </w:rPr>
      </w:sdtEndPr>
      <w:sdtContent>
        <w:r w:rsidR="00F337F6" w:rsidRPr="00C10BFF">
          <w:rPr>
            <w:b/>
            <w:bCs/>
            <w:sz w:val="22"/>
            <w:szCs w:val="28"/>
          </w:rPr>
          <w:fldChar w:fldCharType="begin"/>
        </w:r>
        <w:r w:rsidR="00F337F6" w:rsidRPr="00C10BFF">
          <w:rPr>
            <w:b/>
            <w:bCs/>
            <w:sz w:val="22"/>
            <w:szCs w:val="28"/>
          </w:rPr>
          <w:instrText xml:space="preserve"> PAGE   \* MERGEFORMAT </w:instrText>
        </w:r>
        <w:r w:rsidR="00F337F6" w:rsidRPr="00C10BFF">
          <w:rPr>
            <w:b/>
            <w:bCs/>
            <w:sz w:val="22"/>
            <w:szCs w:val="28"/>
          </w:rPr>
          <w:fldChar w:fldCharType="separate"/>
        </w:r>
        <w:r w:rsidR="004F0A7D">
          <w:rPr>
            <w:b/>
            <w:bCs/>
            <w:noProof/>
            <w:sz w:val="22"/>
            <w:szCs w:val="28"/>
          </w:rPr>
          <w:t>1</w:t>
        </w:r>
        <w:r w:rsidR="00F337F6" w:rsidRPr="00C10BFF">
          <w:rPr>
            <w:b/>
            <w:bCs/>
            <w:noProof/>
            <w:sz w:val="22"/>
            <w:szCs w:val="28"/>
          </w:rPr>
          <w:fldChar w:fldCharType="end"/>
        </w:r>
      </w:sdtContent>
    </w:sdt>
  </w:p>
  <w:p w14:paraId="7C344BB5" w14:textId="64811747" w:rsidR="00F337F6" w:rsidRDefault="00F337F6" w:rsidP="005809BD">
    <w:pPr>
      <w:pStyle w:val="Footer"/>
      <w:tabs>
        <w:tab w:val="clear" w:pos="4320"/>
        <w:tab w:val="clear" w:pos="8640"/>
        <w:tab w:val="left" w:pos="48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32366" w14:textId="77777777" w:rsidR="00EB727A" w:rsidRDefault="00EB727A">
      <w:r>
        <w:separator/>
      </w:r>
    </w:p>
  </w:footnote>
  <w:footnote w:type="continuationSeparator" w:id="0">
    <w:p w14:paraId="1C2B82EB" w14:textId="77777777" w:rsidR="00EB727A" w:rsidRDefault="00EB7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51CB0" w14:textId="77777777" w:rsidR="00F639CF" w:rsidRDefault="00F639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92811" w14:textId="71A5634E" w:rsidR="00F337F6" w:rsidRPr="00E96924" w:rsidRDefault="00F337F6" w:rsidP="009E1059">
    <w:pPr>
      <w:pStyle w:val="Header"/>
      <w:jc w:val="right"/>
      <w:rPr>
        <w:sz w:val="20"/>
        <w:szCs w:val="20"/>
      </w:rPr>
    </w:pPr>
    <w:r w:rsidRPr="0073323D">
      <w:rPr>
        <w:sz w:val="20"/>
        <w:szCs w:val="20"/>
      </w:rPr>
      <w:t xml:space="preserve">Seminar </w:t>
    </w:r>
    <w:proofErr w:type="spellStart"/>
    <w:r w:rsidRPr="0073323D">
      <w:rPr>
        <w:sz w:val="20"/>
        <w:szCs w:val="20"/>
      </w:rPr>
      <w:t>Nasional</w:t>
    </w:r>
    <w:proofErr w:type="spellEnd"/>
    <w:r w:rsidRPr="0073323D">
      <w:rPr>
        <w:sz w:val="20"/>
        <w:szCs w:val="20"/>
      </w:rPr>
      <w:t xml:space="preserve"> </w:t>
    </w:r>
    <w:r w:rsidRPr="00E24A99">
      <w:rPr>
        <w:sz w:val="20"/>
        <w:szCs w:val="20"/>
      </w:rPr>
      <w:t>SAINSTEKNOPAK</w:t>
    </w:r>
    <w:r>
      <w:rPr>
        <w:sz w:val="20"/>
        <w:szCs w:val="20"/>
        <w:lang w:val="id-ID"/>
      </w:rPr>
      <w:t xml:space="preserve"> Ke-</w:t>
    </w:r>
    <w:r>
      <w:rPr>
        <w:sz w:val="20"/>
        <w:szCs w:val="20"/>
      </w:rPr>
      <w:t>5</w:t>
    </w:r>
  </w:p>
  <w:p w14:paraId="6A62D044" w14:textId="77777777" w:rsidR="00F337F6" w:rsidRDefault="00F337F6" w:rsidP="009E1059">
    <w:pPr>
      <w:pStyle w:val="Header"/>
      <w:jc w:val="right"/>
    </w:pPr>
    <w:r>
      <w:rPr>
        <w:noProof/>
        <w:sz w:val="20"/>
        <w:szCs w:val="20"/>
      </w:rPr>
      <mc:AlternateContent>
        <mc:Choice Requires="wps">
          <w:drawing>
            <wp:anchor distT="0" distB="0" distL="114300" distR="114300" simplePos="0" relativeHeight="251665408" behindDoc="0" locked="0" layoutInCell="1" allowOverlap="1" wp14:anchorId="6BDCB477" wp14:editId="0D042B6D">
              <wp:simplePos x="0" y="0"/>
              <wp:positionH relativeFrom="margin">
                <wp:align>right</wp:align>
              </wp:positionH>
              <wp:positionV relativeFrom="paragraph">
                <wp:posOffset>161381</wp:posOffset>
              </wp:positionV>
              <wp:extent cx="259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3F26FD" id="Straight Connector 1" o:spid="_x0000_s1026" style="position:absolute;z-index:251665408;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II3/g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Pr>
        <w:sz w:val="20"/>
        <w:szCs w:val="20"/>
      </w:rPr>
      <w:t>21</w:t>
    </w:r>
  </w:p>
  <w:p w14:paraId="19DE1574" w14:textId="77777777" w:rsidR="00F337F6" w:rsidRPr="009E1059" w:rsidRDefault="00F337F6" w:rsidP="009E10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BDD59" w14:textId="26900755" w:rsidR="00E726B2" w:rsidRPr="00886A54" w:rsidRDefault="00E726B2" w:rsidP="00E726B2">
    <w:pPr>
      <w:pStyle w:val="Header"/>
      <w:jc w:val="right"/>
      <w:rPr>
        <w:sz w:val="20"/>
        <w:szCs w:val="20"/>
      </w:rPr>
    </w:pPr>
    <w:r w:rsidRPr="0073323D">
      <w:rPr>
        <w:sz w:val="20"/>
        <w:szCs w:val="20"/>
      </w:rPr>
      <w:t xml:space="preserve">Seminar </w:t>
    </w:r>
    <w:proofErr w:type="spellStart"/>
    <w:r w:rsidRPr="0073323D">
      <w:rPr>
        <w:sz w:val="20"/>
        <w:szCs w:val="20"/>
      </w:rPr>
      <w:t>Nasional</w:t>
    </w:r>
    <w:proofErr w:type="spellEnd"/>
    <w:r w:rsidRPr="0073323D">
      <w:rPr>
        <w:sz w:val="20"/>
        <w:szCs w:val="20"/>
      </w:rPr>
      <w:t xml:space="preserve"> </w:t>
    </w:r>
    <w:r w:rsidRPr="00E24A99">
      <w:rPr>
        <w:sz w:val="20"/>
        <w:szCs w:val="20"/>
      </w:rPr>
      <w:t>SAINSTEKNOPAK</w:t>
    </w:r>
    <w:r>
      <w:rPr>
        <w:sz w:val="20"/>
        <w:szCs w:val="20"/>
        <w:lang w:val="id-ID"/>
      </w:rPr>
      <w:t xml:space="preserve"> Ke-</w:t>
    </w:r>
    <w:r w:rsidR="00F639CF">
      <w:rPr>
        <w:sz w:val="20"/>
        <w:szCs w:val="20"/>
      </w:rPr>
      <w:t>6</w:t>
    </w:r>
  </w:p>
  <w:p w14:paraId="56374D69" w14:textId="13B94FE0" w:rsidR="00E726B2" w:rsidRPr="00F639CF" w:rsidRDefault="00E726B2" w:rsidP="00E726B2">
    <w:pPr>
      <w:pStyle w:val="Header"/>
      <w:jc w:val="right"/>
    </w:pPr>
    <w:r>
      <w:rPr>
        <w:noProof/>
        <w:sz w:val="20"/>
        <w:szCs w:val="20"/>
      </w:rPr>
      <mc:AlternateContent>
        <mc:Choice Requires="wps">
          <w:drawing>
            <wp:anchor distT="0" distB="0" distL="114300" distR="114300" simplePos="0" relativeHeight="251667456" behindDoc="0" locked="0" layoutInCell="1" allowOverlap="1" wp14:anchorId="22A1AA2F" wp14:editId="2F0A9C46">
              <wp:simplePos x="0" y="0"/>
              <wp:positionH relativeFrom="margin">
                <wp:align>right</wp:align>
              </wp:positionH>
              <wp:positionV relativeFrom="paragraph">
                <wp:posOffset>161381</wp:posOffset>
              </wp:positionV>
              <wp:extent cx="2590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7456;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SwAEAAMcDAAAOAAAAZHJzL2Uyb0RvYy54bWysU8tu2zAQvBfIPxC815KN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g7tk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sidR="005320A0">
      <w:rPr>
        <w:sz w:val="20"/>
        <w:szCs w:val="20"/>
      </w:rPr>
      <w:t>2</w:t>
    </w:r>
    <w:r w:rsidR="00F639CF">
      <w:rPr>
        <w:sz w:val="20"/>
        <w:szCs w:val="20"/>
      </w:rPr>
      <w:t>3</w:t>
    </w:r>
  </w:p>
  <w:p w14:paraId="16FDC324" w14:textId="77777777" w:rsidR="00F337F6" w:rsidRPr="009E1059" w:rsidRDefault="00F337F6" w:rsidP="00B74429">
    <w:pPr>
      <w:pStyle w:val="Header"/>
    </w:pPr>
  </w:p>
  <w:p w14:paraId="3BA3024F" w14:textId="77777777" w:rsidR="00F337F6" w:rsidRPr="00B74429" w:rsidRDefault="00F337F6" w:rsidP="00B74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8E41A40"/>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A06E4C"/>
    <w:multiLevelType w:val="hybridMultilevel"/>
    <w:tmpl w:val="348A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63657"/>
    <w:multiLevelType w:val="multilevel"/>
    <w:tmpl w:val="D162552E"/>
    <w:lvl w:ilvl="0">
      <w:start w:val="1"/>
      <w:numFmt w:val="decimal"/>
      <w:pStyle w:val="Heading1"/>
      <w:lvlText w:val="%1."/>
      <w:lvlJc w:val="left"/>
      <w:pPr>
        <w:ind w:left="405" w:hanging="360"/>
      </w:pPr>
      <w:rPr>
        <w:rFonts w:hint="default"/>
      </w:rPr>
    </w:lvl>
    <w:lvl w:ilvl="1">
      <w:start w:val="1"/>
      <w:numFmt w:val="decimal"/>
      <w:isLgl/>
      <w:lvlText w:val="%1.%2"/>
      <w:lvlJc w:val="left"/>
      <w:pPr>
        <w:ind w:left="1069" w:hanging="360"/>
      </w:pPr>
      <w:rPr>
        <w:rFonts w:hint="default"/>
      </w:rPr>
    </w:lvl>
    <w:lvl w:ilvl="2">
      <w:start w:val="1"/>
      <w:numFmt w:val="upperLetter"/>
      <w:isLgl/>
      <w:lvlText w:val="%1.%2.%3"/>
      <w:lvlJc w:val="left"/>
      <w:pPr>
        <w:ind w:left="2093" w:hanging="720"/>
      </w:pPr>
      <w:rPr>
        <w:rFonts w:hint="default"/>
      </w:rPr>
    </w:lvl>
    <w:lvl w:ilvl="3">
      <w:start w:val="1"/>
      <w:numFmt w:val="upperLetter"/>
      <w:isLgl/>
      <w:lvlText w:val="%1.%2.%3.%4"/>
      <w:lvlJc w:val="left"/>
      <w:pPr>
        <w:ind w:left="2757" w:hanging="720"/>
      </w:pPr>
      <w:rPr>
        <w:rFonts w:hint="default"/>
      </w:rPr>
    </w:lvl>
    <w:lvl w:ilvl="4">
      <w:start w:val="1"/>
      <w:numFmt w:val="decimal"/>
      <w:isLgl/>
      <w:lvlText w:val="%1.%2.%3.%4.%5"/>
      <w:lvlJc w:val="left"/>
      <w:pPr>
        <w:ind w:left="3421" w:hanging="720"/>
      </w:pPr>
      <w:rPr>
        <w:rFonts w:hint="default"/>
      </w:rPr>
    </w:lvl>
    <w:lvl w:ilvl="5">
      <w:start w:val="1"/>
      <w:numFmt w:val="decimal"/>
      <w:isLgl/>
      <w:lvlText w:val="%1.%2.%3.%4.%5.%6"/>
      <w:lvlJc w:val="left"/>
      <w:pPr>
        <w:ind w:left="4445" w:hanging="1080"/>
      </w:pPr>
      <w:rPr>
        <w:rFonts w:hint="default"/>
      </w:rPr>
    </w:lvl>
    <w:lvl w:ilvl="6">
      <w:start w:val="1"/>
      <w:numFmt w:val="decimal"/>
      <w:isLgl/>
      <w:lvlText w:val="%1.%2.%3.%4.%5.%6.%7"/>
      <w:lvlJc w:val="left"/>
      <w:pPr>
        <w:ind w:left="5109" w:hanging="1080"/>
      </w:pPr>
      <w:rPr>
        <w:rFonts w:hint="default"/>
      </w:rPr>
    </w:lvl>
    <w:lvl w:ilvl="7">
      <w:start w:val="1"/>
      <w:numFmt w:val="decimal"/>
      <w:isLgl/>
      <w:lvlText w:val="%1.%2.%3.%4.%5.%6.%7.%8"/>
      <w:lvlJc w:val="left"/>
      <w:pPr>
        <w:ind w:left="6133" w:hanging="1440"/>
      </w:pPr>
      <w:rPr>
        <w:rFonts w:hint="default"/>
      </w:rPr>
    </w:lvl>
    <w:lvl w:ilvl="8">
      <w:start w:val="1"/>
      <w:numFmt w:val="decimal"/>
      <w:isLgl/>
      <w:lvlText w:val="%1.%2.%3.%4.%5.%6.%7.%8.%9"/>
      <w:lvlJc w:val="left"/>
      <w:pPr>
        <w:ind w:left="6797" w:hanging="1440"/>
      </w:pPr>
      <w:rPr>
        <w:rFonts w:hint="default"/>
      </w:rPr>
    </w:lvl>
  </w:abstractNum>
  <w:abstractNum w:abstractNumId="3">
    <w:nsid w:val="1A96258D"/>
    <w:multiLevelType w:val="hybridMultilevel"/>
    <w:tmpl w:val="8F7C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2764E1"/>
    <w:multiLevelType w:val="hybridMultilevel"/>
    <w:tmpl w:val="ADF8B904"/>
    <w:lvl w:ilvl="0" w:tplc="041852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31240AE"/>
    <w:multiLevelType w:val="multilevel"/>
    <w:tmpl w:val="43AC774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B0"/>
    <w:rsid w:val="00007450"/>
    <w:rsid w:val="00012AE6"/>
    <w:rsid w:val="00046AA8"/>
    <w:rsid w:val="000546F7"/>
    <w:rsid w:val="000850C7"/>
    <w:rsid w:val="000A517F"/>
    <w:rsid w:val="000D00F7"/>
    <w:rsid w:val="00171B12"/>
    <w:rsid w:val="001D08F2"/>
    <w:rsid w:val="001F41CE"/>
    <w:rsid w:val="00202F80"/>
    <w:rsid w:val="00216F30"/>
    <w:rsid w:val="00254736"/>
    <w:rsid w:val="00263997"/>
    <w:rsid w:val="002A3580"/>
    <w:rsid w:val="002E5F6D"/>
    <w:rsid w:val="002F1CA3"/>
    <w:rsid w:val="00320AD0"/>
    <w:rsid w:val="0033261D"/>
    <w:rsid w:val="003A6E7F"/>
    <w:rsid w:val="003B3EF3"/>
    <w:rsid w:val="00416314"/>
    <w:rsid w:val="00423EFA"/>
    <w:rsid w:val="00485279"/>
    <w:rsid w:val="004C3843"/>
    <w:rsid w:val="004C3EA6"/>
    <w:rsid w:val="004D4995"/>
    <w:rsid w:val="004E55E8"/>
    <w:rsid w:val="004F0A7D"/>
    <w:rsid w:val="004F3BAB"/>
    <w:rsid w:val="0052000E"/>
    <w:rsid w:val="005277F1"/>
    <w:rsid w:val="005320A0"/>
    <w:rsid w:val="00532DE3"/>
    <w:rsid w:val="00551B8C"/>
    <w:rsid w:val="005668C9"/>
    <w:rsid w:val="005809BD"/>
    <w:rsid w:val="005D1853"/>
    <w:rsid w:val="005E116D"/>
    <w:rsid w:val="005E445B"/>
    <w:rsid w:val="005E73D3"/>
    <w:rsid w:val="00630AB8"/>
    <w:rsid w:val="00634F3D"/>
    <w:rsid w:val="00647A65"/>
    <w:rsid w:val="00671859"/>
    <w:rsid w:val="006A3ABE"/>
    <w:rsid w:val="006D683C"/>
    <w:rsid w:val="0073323D"/>
    <w:rsid w:val="007669BC"/>
    <w:rsid w:val="007A7F83"/>
    <w:rsid w:val="007C40C8"/>
    <w:rsid w:val="0084422E"/>
    <w:rsid w:val="008653FA"/>
    <w:rsid w:val="00886A54"/>
    <w:rsid w:val="008A59F0"/>
    <w:rsid w:val="008C364D"/>
    <w:rsid w:val="008D7EC9"/>
    <w:rsid w:val="00900B31"/>
    <w:rsid w:val="009264FB"/>
    <w:rsid w:val="0093694A"/>
    <w:rsid w:val="00947604"/>
    <w:rsid w:val="009554B0"/>
    <w:rsid w:val="0096542F"/>
    <w:rsid w:val="009A4943"/>
    <w:rsid w:val="009B4514"/>
    <w:rsid w:val="009E1059"/>
    <w:rsid w:val="00A31664"/>
    <w:rsid w:val="00A35226"/>
    <w:rsid w:val="00A43985"/>
    <w:rsid w:val="00AF6739"/>
    <w:rsid w:val="00B44578"/>
    <w:rsid w:val="00B507B8"/>
    <w:rsid w:val="00B70F1E"/>
    <w:rsid w:val="00B74429"/>
    <w:rsid w:val="00BA0A89"/>
    <w:rsid w:val="00BA60A3"/>
    <w:rsid w:val="00BD41DF"/>
    <w:rsid w:val="00BE3F06"/>
    <w:rsid w:val="00C011E6"/>
    <w:rsid w:val="00C10BFF"/>
    <w:rsid w:val="00C64DCB"/>
    <w:rsid w:val="00C858F9"/>
    <w:rsid w:val="00CB3C59"/>
    <w:rsid w:val="00CC09ED"/>
    <w:rsid w:val="00D127DC"/>
    <w:rsid w:val="00D72F65"/>
    <w:rsid w:val="00D85552"/>
    <w:rsid w:val="00DA09EB"/>
    <w:rsid w:val="00DC7F90"/>
    <w:rsid w:val="00DD6845"/>
    <w:rsid w:val="00E003C4"/>
    <w:rsid w:val="00E00A9B"/>
    <w:rsid w:val="00E24A99"/>
    <w:rsid w:val="00E37029"/>
    <w:rsid w:val="00E668CB"/>
    <w:rsid w:val="00E726B2"/>
    <w:rsid w:val="00E82D0C"/>
    <w:rsid w:val="00E856E1"/>
    <w:rsid w:val="00E96924"/>
    <w:rsid w:val="00EA3F87"/>
    <w:rsid w:val="00EA7A30"/>
    <w:rsid w:val="00EB727A"/>
    <w:rsid w:val="00EE42F3"/>
    <w:rsid w:val="00EF11ED"/>
    <w:rsid w:val="00F04588"/>
    <w:rsid w:val="00F133A3"/>
    <w:rsid w:val="00F337F6"/>
    <w:rsid w:val="00F4307A"/>
    <w:rsid w:val="00F639CF"/>
    <w:rsid w:val="00F74266"/>
    <w:rsid w:val="00F84A32"/>
    <w:rsid w:val="00FA3EA2"/>
    <w:rsid w:val="00FB04D0"/>
    <w:rsid w:val="00FD00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3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oirunnisful@unhasy.ac.id"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ry%20Page\Downloads\Template-Full-Paper-SESINDO-without-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8463A-131A-4D1F-8A6B-BBD30EED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Template-Full-Paper-SESINDO-without-page.dotx</Template>
  <TotalTime>657</TotalTime>
  <Pages>4</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13253</CharactersWithSpaces>
  <SharedDoc>false</SharedDoc>
  <HLinks>
    <vt:vector size="12" baseType="variant">
      <vt:variant>
        <vt:i4>8126568</vt:i4>
      </vt:variant>
      <vt:variant>
        <vt:i4>6</vt:i4>
      </vt:variant>
      <vt:variant>
        <vt:i4>0</vt:i4>
      </vt:variant>
      <vt:variant>
        <vt:i4>5</vt:i4>
      </vt:variant>
      <vt:variant>
        <vt:lpwstr>http://www.nhs.uk.hth.walking/</vt:lpwstr>
      </vt:variant>
      <vt:variant>
        <vt:lpwstr/>
      </vt:variant>
      <vt:variant>
        <vt:i4>2752576</vt:i4>
      </vt:variant>
      <vt:variant>
        <vt:i4>0</vt:i4>
      </vt:variant>
      <vt:variant>
        <vt:i4>0</vt:i4>
      </vt:variant>
      <vt:variant>
        <vt:i4>5</vt:i4>
      </vt:variant>
      <vt:variant>
        <vt:lpwstr>mailto:email1@domain.ekstensi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Page</dc:creator>
  <cp:lastModifiedBy>Windows User</cp:lastModifiedBy>
  <cp:revision>43</cp:revision>
  <cp:lastPrinted>2023-01-17T14:32:00Z</cp:lastPrinted>
  <dcterms:created xsi:type="dcterms:W3CDTF">2019-07-30T07:09:00Z</dcterms:created>
  <dcterms:modified xsi:type="dcterms:W3CDTF">2023-03-24T13:30:00Z</dcterms:modified>
</cp:coreProperties>
</file>